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ind w:left="0" w:right="0" w:hanging="720"/>
        <w:jc w:val="left"/>
        <w:rPr/>
      </w:pP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200" w:after="283"/>
        <w:ind w:left="0" w:right="0" w:hanging="720"/>
        <w:jc w:val="left"/>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TRANSITION PERIOD FROM ___ TO 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001-38356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YARROW BIOSCIENCE,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750" w:type="dxa"/>
        <w:jc w:val="left"/>
        <w:tblInd w:w="0" w:type="dxa"/>
        <w:tblLayout w:type="fixed"/>
        <w:tblCellMar>
          <w:top w:w="28" w:type="dxa"/>
          <w:left w:w="28" w:type="dxa"/>
          <w:bottom w:w="28" w:type="dxa"/>
          <w:right w:w="28" w:type="dxa"/>
        </w:tblCellMar>
      </w:tblPr>
      <w:tblGrid>
        <w:gridCol w:w="992"/>
        <w:gridCol w:w="872"/>
        <w:gridCol w:w="880"/>
        <w:gridCol w:w="109"/>
        <w:gridCol w:w="109"/>
        <w:gridCol w:w="109"/>
        <w:gridCol w:w="490"/>
        <w:gridCol w:w="490"/>
        <w:gridCol w:w="699"/>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45-3757789</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1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470 James Street, Suite 007</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New Haven, Connecticut 06513</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(203) 433-7577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83" w:type="dxa"/>
        <w:jc w:val="left"/>
        <w:tblInd w:w="0" w:type="dxa"/>
        <w:tblLayout w:type="fixed"/>
        <w:tblCellMar>
          <w:top w:w="28" w:type="dxa"/>
          <w:left w:w="28" w:type="dxa"/>
          <w:bottom w:w="28" w:type="dxa"/>
          <w:right w:w="28" w:type="dxa"/>
        </w:tblCellMar>
      </w:tblPr>
      <w:tblGrid>
        <w:gridCol w:w="1095"/>
        <w:gridCol w:w="962"/>
        <w:gridCol w:w="973"/>
        <w:gridCol w:w="109"/>
        <w:gridCol w:w="109"/>
        <w:gridCol w:w="109"/>
        <w:gridCol w:w="564"/>
        <w:gridCol w:w="564"/>
        <w:gridCol w:w="566"/>
        <w:gridCol w:w="109"/>
        <w:gridCol w:w="109"/>
        <w:gridCol w:w="109"/>
        <w:gridCol w:w="732"/>
        <w:gridCol w:w="732"/>
        <w:gridCol w:w="1041"/>
      </w:tblGrid>
      <w:tr>
        <w:trPr/>
        <w:tc>
          <w:tcPr>
            <w:tcW w:w="109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YARW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00" w:after="283"/>
        <w:jc w:val="center"/>
        <w:rPr/>
      </w:pP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200" w:after="283"/>
        <w:jc w:val="center"/>
        <w:rPr/>
      </w:pP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bl>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200" w:after="283"/>
        <w:jc w:val="center"/>
        <w:rPr/>
      </w:pP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00" w:after="283"/>
        <w:ind w:left="0" w:right="0" w:firstLine="720"/>
        <w:jc w:val="left"/>
        <w:rPr/>
      </w:pPr>
      <w:r>
        <w:rPr>
          <w:rFonts w:ascii="Times New Roman;serif" w:hAnsi="Times New Roman;serif"/>
          <w:b w:val="false"/>
          <w:color w:val="000000"/>
          <w:sz w:val="20"/>
        </w:rPr>
        <w:t>As of August 10, 2026, t</w:t>
      </w:r>
      <w:r>
        <w:rPr>
          <w:rFonts w:ascii="Times New Roman;serif" w:hAnsi="Times New Roman;serif"/>
          <w:b w:val="false"/>
          <w:color w:val="000000"/>
          <w:sz w:val="20"/>
          <w:shd w:fill="FFFFFF" w:val="clear"/>
        </w:rPr>
        <w:t>here we</w:t>
      </w:r>
      <w:r>
        <w:rPr>
          <w:rFonts w:ascii="Times New Roman;serif" w:hAnsi="Times New Roman;serif"/>
          <w:b w:val="false"/>
          <w:color w:val="000000"/>
          <w:sz w:val="20"/>
        </w:rPr>
        <w:t>re 2,669,746 sh</w:t>
      </w:r>
      <w:r>
        <w:rPr>
          <w:rFonts w:ascii="Times New Roman;serif" w:hAnsi="Times New Roman;serif"/>
          <w:b w:val="false"/>
          <w:color w:val="000000"/>
          <w:sz w:val="20"/>
          <w:shd w:fill="FFFFFF" w:val="clear"/>
        </w:rPr>
        <w:t>ar</w:t>
      </w:r>
      <w:r>
        <w:rPr>
          <w:rFonts w:ascii="Times New Roman;serif" w:hAnsi="Times New Roman;serif"/>
          <w:b w:val="false"/>
          <w:color w:val="000000"/>
          <w:sz w:val="20"/>
        </w:rPr>
        <w:t>es of the registrant’s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46" w:type="dxa"/>
        <w:jc w:val="left"/>
        <w:tblInd w:w="0" w:type="dxa"/>
        <w:tblLayout w:type="fixed"/>
        <w:tblCellMar>
          <w:top w:w="28" w:type="dxa"/>
          <w:left w:w="28" w:type="dxa"/>
          <w:bottom w:w="28" w:type="dxa"/>
          <w:right w:w="28" w:type="dxa"/>
        </w:tblCellMar>
      </w:tblPr>
      <w:tblGrid>
        <w:gridCol w:w="330"/>
        <w:gridCol w:w="244"/>
        <w:gridCol w:w="237"/>
        <w:gridCol w:w="2452"/>
        <w:gridCol w:w="2452"/>
        <w:gridCol w:w="2460"/>
        <w:gridCol w:w="167"/>
        <w:gridCol w:w="167"/>
        <w:gridCol w:w="237"/>
      </w:tblGrid>
      <w:tr>
        <w:trPr/>
        <w:tc>
          <w:tcPr>
            <w:tcW w:w="3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0">
              <w:r>
                <w:rPr>
                  <w:rStyle w:val="InternetLink"/>
                  <w:rFonts w:ascii="Times New Roman;serif" w:hAnsi="Times New Roman;serif"/>
                  <w:b w:val="false"/>
                  <w:color w:val="0000FF"/>
                  <w:sz w:val="20"/>
                  <w:u w:val="single"/>
                </w:rPr>
                <w:t>Part 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0">
              <w:r>
                <w:rPr>
                  <w:rStyle w:val="InternetLink"/>
                  <w:rFonts w:ascii="Times New Roman;serif" w:hAnsi="Times New Roman;serif"/>
                  <w:b w:val="false"/>
                  <w:color w:val="0000FF"/>
                  <w:sz w:val="20"/>
                  <w:u w:val="single"/>
                </w:rPr>
                <w:t>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pPr>
            <w:hyperlink w:anchor="ife0bcaa39a184efbb3bfe5b3f74cc2eb_10">
              <w:r>
                <w:rPr>
                  <w:rStyle w:val="InternetLink"/>
                  <w:rFonts w:ascii="Times New Roman;serif" w:hAnsi="Times New Roman;serif"/>
                  <w:b w:val="false"/>
                  <w:color w:val="0000FF"/>
                  <w:sz w:val="20"/>
                  <w:u w:val="single"/>
                </w:rPr>
                <w:t>5</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3">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3">
              <w:r>
                <w:rPr>
                  <w:rStyle w:val="InternetLink"/>
                  <w:rFonts w:ascii="Times New Roman;serif" w:hAnsi="Times New Roman;serif"/>
                  <w:b w:val="false"/>
                  <w:color w:val="000080"/>
                  <w:sz w:val="20"/>
                  <w:u w:val="single"/>
                </w:rPr>
                <w:t xml:space="preserve">Unaudited </w:t>
              </w:r>
            </w:hyperlink>
            <w:hyperlink w:anchor="ife0bcaa39a184efbb3bfe5b3f74cc2eb_13">
              <w:r>
                <w:rPr>
                  <w:rStyle w:val="InternetLink"/>
                  <w:rFonts w:ascii="Times New Roman;serif" w:hAnsi="Times New Roman;serif"/>
                  <w:b w:val="false"/>
                  <w:color w:val="000080"/>
                  <w:sz w:val="20"/>
                  <w:u w:val="single"/>
                </w:rPr>
                <w:t xml:space="preserve">Condensed Consolidated </w:t>
              </w:r>
            </w:hyperlink>
            <w:hyperlink w:anchor="ife0bcaa39a184efbb3bfe5b3f74cc2eb_13">
              <w:r>
                <w:rPr>
                  <w:rStyle w:val="InternetLink"/>
                  <w:rFonts w:ascii="Times New Roman;serif" w:hAnsi="Times New Roman;serif"/>
                  <w:b w:val="false"/>
                  <w:color w:val="000080"/>
                  <w:sz w:val="20"/>
                  <w:u w:val="singl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3">
              <w:r>
                <w:rPr>
                  <w:rStyle w:val="InternetLink"/>
                  <w:rFonts w:ascii="Times New Roman;serif" w:hAnsi="Times New Roman;serif"/>
                  <w:b w:val="false"/>
                  <w:color w:val="0000FF"/>
                  <w:sz w:val="20"/>
                  <w:u w:val="single"/>
                </w:rPr>
                <w:t>5</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6">
              <w:r>
                <w:rPr>
                  <w:rStyle w:val="InternetLink"/>
                  <w:rFonts w:ascii="Times New Roman;serif" w:hAnsi="Times New Roman;serif"/>
                  <w:b w:val="false"/>
                  <w:color w:val="0000FF"/>
                  <w:sz w:val="20"/>
                  <w:u w:val="single"/>
                </w:rPr>
                <w:t>Unaudited 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6">
              <w:r>
                <w:rPr>
                  <w:rStyle w:val="InternetLink"/>
                  <w:rFonts w:ascii="Times New Roman;serif" w:hAnsi="Times New Roman;serif"/>
                  <w:b w:val="false"/>
                  <w:color w:val="0000FF"/>
                  <w:sz w:val="20"/>
                  <w:u w:val="single"/>
                </w:rPr>
                <w:t>5</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9">
              <w:r>
                <w:rPr>
                  <w:rStyle w:val="InternetLink"/>
                  <w:rFonts w:ascii="Times New Roman;serif" w:hAnsi="Times New Roman;serif"/>
                  <w:b w:val="false"/>
                  <w:color w:val="0000FF"/>
                  <w:sz w:val="20"/>
                  <w:u w:val="single"/>
                </w:rPr>
                <w:t>Unaudited Condensed Consolidated Statements Of Operations and Comprehensive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9">
              <w:r>
                <w:rPr>
                  <w:rStyle w:val="InternetLink"/>
                  <w:rFonts w:ascii="Times New Roman;serif" w:hAnsi="Times New Roman;serif"/>
                  <w:b w:val="false"/>
                  <w:color w:val="0000FF"/>
                  <w:sz w:val="20"/>
                  <w:u w:val="single"/>
                </w:rPr>
                <w:t>6</w:t>
              </w:r>
            </w:hyperlink>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22">
              <w:r>
                <w:rPr>
                  <w:rStyle w:val="InternetLink"/>
                  <w:rFonts w:ascii="Times New Roman;serif" w:hAnsi="Times New Roman;serif"/>
                  <w:b w:val="false"/>
                  <w:color w:val="0000FF"/>
                  <w:sz w:val="20"/>
                  <w:u w:val="single"/>
                </w:rPr>
                <w:t>Unaudited Condensed Consolidated Statements Of Changes In Stockholders'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22">
              <w:r>
                <w:rPr>
                  <w:rStyle w:val="InternetLink"/>
                  <w:rFonts w:ascii="Times New Roman;serif" w:hAnsi="Times New Roman;serif"/>
                  <w:b w:val="false"/>
                  <w:color w:val="0000FF"/>
                  <w:sz w:val="20"/>
                  <w:u w:val="single"/>
                </w:rPr>
                <w:t>7</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28">
              <w:r>
                <w:rPr>
                  <w:rStyle w:val="InternetLink"/>
                  <w:rFonts w:ascii="Times New Roman;serif" w:hAnsi="Times New Roman;serif"/>
                  <w:b w:val="false"/>
                  <w:color w:val="0000FF"/>
                  <w:sz w:val="20"/>
                  <w:u w:val="single"/>
                </w:rPr>
                <w:t>Unaudited 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28">
              <w:r>
                <w:rPr>
                  <w:rStyle w:val="InternetLink"/>
                  <w:rFonts w:ascii="Times New Roman;serif" w:hAnsi="Times New Roman;serif"/>
                  <w:b w:val="false"/>
                  <w:color w:val="0000FF"/>
                  <w:sz w:val="20"/>
                  <w:u w:val="single"/>
                </w:rPr>
                <w:t>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31">
              <w:r>
                <w:rPr>
                  <w:rStyle w:val="InternetLink"/>
                  <w:rFonts w:ascii="Times New Roman;serif" w:hAnsi="Times New Roman;serif"/>
                  <w:b w:val="false"/>
                  <w:color w:val="0000FF"/>
                  <w:sz w:val="20"/>
                  <w:u w:val="single"/>
                </w:rPr>
                <w:t>Notes to Unaudited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31">
              <w:r>
                <w:rPr>
                  <w:rStyle w:val="InternetLink"/>
                  <w:rFonts w:ascii="Times New Roman;serif" w:hAnsi="Times New Roman;serif"/>
                  <w:b w:val="false"/>
                  <w:color w:val="0000FF"/>
                  <w:sz w:val="20"/>
                  <w:u w:val="single"/>
                </w:rPr>
                <w:t>10</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82">
              <w:r>
                <w:rPr>
                  <w:rStyle w:val="InternetLink"/>
                  <w:rFonts w:ascii="Times New Roman;serif" w:hAnsi="Times New Roman;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82">
              <w:r>
                <w:rPr>
                  <w:rStyle w:val="InternetLink"/>
                  <w:rFonts w:ascii="Times New Roman;serif" w:hAnsi="Times New Roman;serif"/>
                  <w:b w:val="false"/>
                  <w:color w:val="0000FF"/>
                  <w:sz w:val="20"/>
                  <w:u w:val="single"/>
                </w:rPr>
                <w:t>24</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15">
              <w:r>
                <w:rPr>
                  <w:rStyle w:val="InternetLink"/>
                  <w:rFonts w:ascii="Times New Roman;serif" w:hAnsi="Times New Roman;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15">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15">
              <w:r>
                <w:rPr>
                  <w:rStyle w:val="InternetLink"/>
                  <w:rFonts w:ascii="Times New Roman;serif" w:hAnsi="Times New Roman;serif"/>
                  <w:b w:val="false"/>
                  <w:color w:val="0000FF"/>
                  <w:sz w:val="20"/>
                  <w:u w:val="single"/>
                </w:rPr>
                <w:t>33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18">
              <w:r>
                <w:rPr>
                  <w:rStyle w:val="InternetLink"/>
                  <w:rFonts w:ascii="Times New Roman;serif" w:hAnsi="Times New Roman;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18">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18">
              <w:r>
                <w:rPr>
                  <w:rStyle w:val="InternetLink"/>
                  <w:rFonts w:ascii="Times New Roman;serif" w:hAnsi="Times New Roman;serif"/>
                  <w:b w:val="false"/>
                  <w:color w:val="0000FF"/>
                  <w:sz w:val="20"/>
                  <w:u w:val="single"/>
                </w:rPr>
                <w:t>34</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21">
              <w:r>
                <w:rPr>
                  <w:rStyle w:val="InternetLink"/>
                  <w:rFonts w:ascii="Times New Roman;serif" w:hAnsi="Times New Roman;serif"/>
                  <w:b w:val="false"/>
                  <w:color w:val="0000FF"/>
                  <w:sz w:val="20"/>
                  <w:u w:val="single"/>
                </w:rPr>
                <w:t>Part II</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21">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21">
              <w:r>
                <w:rPr>
                  <w:rStyle w:val="InternetLink"/>
                  <w:rFonts w:ascii="Times New Roman;serif" w:hAnsi="Times New Roman;serif"/>
                  <w:b w:val="false"/>
                  <w:color w:val="0000FF"/>
                  <w:sz w:val="20"/>
                  <w:u w:val="single"/>
                </w:rPr>
                <w:t>35</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24">
              <w:r>
                <w:rPr>
                  <w:rStyle w:val="InternetLink"/>
                  <w:rFonts w:ascii="Times New Roman;serif" w:hAnsi="Times New Roman;serif"/>
                  <w:b w:val="false"/>
                  <w:color w:val="0000FF"/>
                  <w:sz w:val="20"/>
                  <w:u w:val="single"/>
                </w:rPr>
                <w:t>Item 1</w:t>
              </w:r>
            </w:hyperlink>
            <w:r>
              <w:rPr>
                <w:rFonts w:ascii="Times New Roman;serif" w:hAnsi="Times New Roman;serif"/>
                <w:b w:val="false"/>
                <w:color w:val="000000"/>
                <w:sz w:val="20"/>
              </w:rPr>
              <w:t>.</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24">
              <w:r>
                <w:rPr>
                  <w:rStyle w:val="InternetLink"/>
                  <w:rFonts w:ascii="Times New Roman;serif" w:hAnsi="Times New Roman;serif"/>
                  <w:b w:val="false"/>
                  <w:color w:val="0000FF"/>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24">
              <w:r>
                <w:rPr>
                  <w:rStyle w:val="InternetLink"/>
                  <w:rFonts w:ascii="Times New Roman;serif" w:hAnsi="Times New Roman;serif"/>
                  <w:b w:val="false"/>
                  <w:color w:val="0000FF"/>
                  <w:sz w:val="20"/>
                  <w:u w:val="single"/>
                </w:rPr>
                <w:t>35</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27">
              <w:r>
                <w:rPr>
                  <w:rStyle w:val="InternetLink"/>
                  <w:rFonts w:ascii="Times New Roman;serif" w:hAnsi="Times New Roman;serif"/>
                  <w:b w:val="false"/>
                  <w:color w:val="0000FF"/>
                  <w:sz w:val="20"/>
                  <w:u w:val="single"/>
                </w:rPr>
                <w:t>Item 1A.</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27">
              <w:r>
                <w:rPr>
                  <w:rStyle w:val="InternetLink"/>
                  <w:rFonts w:ascii="Times New Roman;serif" w:hAnsi="Times New Roman;serif"/>
                  <w:b w:val="false"/>
                  <w:color w:val="0000FF"/>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27">
              <w:r>
                <w:rPr>
                  <w:rStyle w:val="InternetLink"/>
                  <w:rFonts w:ascii="Times New Roman;serif" w:hAnsi="Times New Roman;serif"/>
                  <w:b w:val="false"/>
                  <w:color w:val="0000FF"/>
                  <w:sz w:val="20"/>
                  <w:u w:val="single"/>
                </w:rPr>
                <w:t>35</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30">
              <w:r>
                <w:rPr>
                  <w:rStyle w:val="InternetLink"/>
                  <w:rFonts w:ascii="Times New Roman;serif" w:hAnsi="Times New Roman;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30">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30">
              <w:r>
                <w:rPr>
                  <w:rStyle w:val="InternetLink"/>
                  <w:rFonts w:ascii="Times New Roman;serif" w:hAnsi="Times New Roman;serif"/>
                  <w:b w:val="false"/>
                  <w:color w:val="0000FF"/>
                  <w:sz w:val="20"/>
                  <w:u w:val="single"/>
                </w:rPr>
                <w:t>63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33">
              <w:r>
                <w:rPr>
                  <w:rStyle w:val="InternetLink"/>
                  <w:rFonts w:ascii="Times New Roman;serif" w:hAnsi="Times New Roman;serif"/>
                  <w:b w:val="false"/>
                  <w:color w:val="0000FF"/>
                  <w:sz w:val="20"/>
                  <w:u w:val="singl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33">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33">
              <w:r>
                <w:rPr>
                  <w:rStyle w:val="InternetLink"/>
                  <w:rFonts w:ascii="Times New Roman;serif" w:hAnsi="Times New Roman;serif"/>
                  <w:b w:val="false"/>
                  <w:color w:val="0000FF"/>
                  <w:sz w:val="20"/>
                  <w:u w:val="single"/>
                </w:rPr>
                <w:t>63</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36">
              <w:r>
                <w:rPr>
                  <w:rStyle w:val="InternetLink"/>
                  <w:rFonts w:ascii="Times New Roman;serif" w:hAnsi="Times New Roman;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36">
              <w:r>
                <w:rPr>
                  <w:rStyle w:val="InternetLink"/>
                  <w:rFonts w:ascii="Times New Roman;serif" w:hAnsi="Times New Roman;serif"/>
                  <w:b w:val="false"/>
                  <w:color w:val="0000FF"/>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36">
              <w:r>
                <w:rPr>
                  <w:rStyle w:val="InternetLink"/>
                  <w:rFonts w:ascii="Times New Roman;serif" w:hAnsi="Times New Roman;serif"/>
                  <w:b w:val="false"/>
                  <w:color w:val="0000FF"/>
                  <w:sz w:val="20"/>
                  <w:u w:val="single"/>
                </w:rPr>
                <w:t>63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39">
              <w:r>
                <w:rPr>
                  <w:rStyle w:val="InternetLink"/>
                  <w:rFonts w:ascii="Times New Roman;serif" w:hAnsi="Times New Roman;serif"/>
                  <w:b w:val="false"/>
                  <w:color w:val="0000FF"/>
                  <w:sz w:val="20"/>
                  <w:u w:val="single"/>
                </w:rPr>
                <w:t>Item 5.</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39">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39">
              <w:r>
                <w:rPr>
                  <w:rStyle w:val="InternetLink"/>
                  <w:rFonts w:ascii="Times New Roman;serif" w:hAnsi="Times New Roman;serif"/>
                  <w:b w:val="false"/>
                  <w:color w:val="0000FF"/>
                  <w:sz w:val="20"/>
                  <w:u w:val="single"/>
                </w:rPr>
                <w:t>63</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42">
              <w:r>
                <w:rPr>
                  <w:rStyle w:val="InternetLink"/>
                  <w:rFonts w:ascii="Times New Roman;serif" w:hAnsi="Times New Roman;serif"/>
                  <w:b w:val="false"/>
                  <w:color w:val="0000FF"/>
                  <w:sz w:val="20"/>
                  <w:u w:val="singl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42">
              <w:r>
                <w:rPr>
                  <w:rStyle w:val="InternetLink"/>
                  <w:rFonts w:ascii="Times New Roman;serif" w:hAnsi="Times New Roman;serif"/>
                  <w:b w:val="false"/>
                  <w:color w:val="0000FF"/>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42">
              <w:r>
                <w:rPr>
                  <w:rStyle w:val="InternetLink"/>
                  <w:rFonts w:ascii="Times New Roman;serif" w:hAnsi="Times New Roman;serif"/>
                  <w:b w:val="false"/>
                  <w:color w:val="0000FF"/>
                  <w:sz w:val="20"/>
                  <w:u w:val="single"/>
                </w:rPr>
                <w:t>64</w:t>
              </w:r>
            </w:hyperlink>
          </w:p>
        </w:tc>
      </w:tr>
      <w:tr>
        <w:trPr/>
        <w:tc>
          <w:tcPr>
            <w:tcW w:w="8175"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0bcaa39a184efbb3bfe5b3f74cc2eb_145">
              <w:r>
                <w:rPr>
                  <w:rStyle w:val="InternetLink"/>
                  <w:rFonts w:ascii="Times New Roman;serif" w:hAnsi="Times New Roman;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0bcaa39a184efbb3bfe5b3f74cc2eb_145">
              <w:r>
                <w:rPr>
                  <w:rStyle w:val="InternetLink"/>
                  <w:rFonts w:ascii="Times New Roman;serif" w:hAnsi="Times New Roman;serif"/>
                  <w:b w:val="false"/>
                  <w:color w:val="0000FF"/>
                  <w:sz w:val="20"/>
                  <w:u w:val="single"/>
                </w:rPr>
                <w:t>66</w:t>
              </w:r>
            </w:hyperlink>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before="200" w:after="283"/>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regarding: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successfully execute on our strategy for the development of YB-101;</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success, cost and timing of our planned filing of investigational drug applications or their equivalents, planned product development activities, and initiation of clinical trials of our current product candidates, including YB-101, and any future product candidates;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retain the continued service of our directors, officers, key employees and consultants;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continue to grow and manage our growth effectively;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obtain regulatory approval for our current or future product candidates that we may identify or develop;</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ensure adequate supply of our current or future product candidates;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maintain third-party relationships necessary to conduct our business;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establish an adequate safety or efficacy profile for our current or future product candidates that we may pursue;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implementation and execution of our strategic plans for our business, our current or future product candidates we may develop and our technology;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intellectual property position, including the scope of protection we are able to establish and maintain for intellectual property rights covering our product candidates and technology;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rate and degree of market acceptance and clinical utility for our current or future product candidates we may develop;</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estimates about the size of our market opportunity;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estimates of expenses, future revenues, capital requirements and our needs for additional financing;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maintain and establish collaborations;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financial performance and liquidity;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developments relating to our competitors and our industry, including the impact of government regulation;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maintain adequate internal controls over financial reporting;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effects of global economic uncertainty and financial market volatility caused by economic effects of volatility in inflation and interest rates, tariffs, geopolitical instability, changes in international trade relationships and conflicts;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other risks and uncertainties, including those listed under the section titled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the reasons described elsewhere in this Quarterly Report on Form 10-Q and those set forth in Part I, Item 1A - “Risk Factors” in our Annual Report on Form 10- K for the fiscal year ended December 31, 2025. Any forward-looking statement in this Quarterly Report on Form 10-Q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also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COMPANY REFERENCES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the context otherwise requires, references to the “Company,” “we,” “us,” “our,” and similar references refer: (1) following the completion of the Merger (as defined elsewhere in this Quarterly Report on Form 10-Q), to Yarrow Bioscience, Inc. (the “Combined Company” or “Yarrow”) and our subsidiaries and (2) prior to the completion of the Merger, to VYNE Therapeutics Inc. (“VYNE”) and its subsidiaries.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trademarks and registered trademarks of Yarrow Bioscience, Inc. and our subsidiaries referred to in this Quarterly Report on Form 10-Q include VYNE Therapeutics, InhiBET, Yarrow, Yarrow Bioscience, our logo, our name, and logo used together. Third-party products and company names mentioned herein may be the trademarks of their respective owners.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VYNE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(U.S. dollars 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40"/>
        <w:gridCol w:w="2315"/>
        <w:gridCol w:w="2313"/>
        <w:gridCol w:w="211"/>
        <w:gridCol w:w="721"/>
        <w:gridCol w:w="109"/>
        <w:gridCol w:w="109"/>
        <w:gridCol w:w="109"/>
        <w:gridCol w:w="109"/>
        <w:gridCol w:w="226"/>
        <w:gridCol w:w="775"/>
        <w:gridCol w:w="168"/>
      </w:tblGrid>
      <w:tr>
        <w:trPr/>
        <w:tc>
          <w:tcPr>
            <w:tcW w:w="304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Employee-related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20,000,000 shares authorized at June 30, 2026 and December 31, 2025; no shares issued and outstanding at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150,000,000 shares authorized at June 30, 2026 and December 31, 2025; and 668,327 and 666,463 shares issued and outstanding at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VYNE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LOSS</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(U.S. dollars and share data 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59"/>
        <w:gridCol w:w="1589"/>
        <w:gridCol w:w="1601"/>
        <w:gridCol w:w="211"/>
        <w:gridCol w:w="685"/>
        <w:gridCol w:w="109"/>
        <w:gridCol w:w="109"/>
        <w:gridCol w:w="109"/>
        <w:gridCol w:w="109"/>
        <w:gridCol w:w="211"/>
        <w:gridCol w:w="685"/>
        <w:gridCol w:w="109"/>
        <w:gridCol w:w="109"/>
        <w:gridCol w:w="109"/>
        <w:gridCol w:w="109"/>
        <w:gridCol w:w="211"/>
        <w:gridCol w:w="685"/>
        <w:gridCol w:w="109"/>
        <w:gridCol w:w="109"/>
        <w:gridCol w:w="109"/>
        <w:gridCol w:w="109"/>
        <w:gridCol w:w="211"/>
        <w:gridCol w:w="790"/>
        <w:gridCol w:w="159"/>
      </w:tblGrid>
      <w:tr>
        <w:trPr/>
        <w:tc>
          <w:tcPr>
            <w:tcW w:w="185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04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04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04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 before income taxes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 from continuing operations,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per share from discontinued operations,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 - basic and diluted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Unrealized losses on marketable securities, net of tax of $0</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comprehensive loss </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VYNE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STOCKHOLDERS' EQUITY</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(U.S. dollars in thousands,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908" w:type="dxa"/>
        <w:jc w:val="left"/>
        <w:tblInd w:w="0" w:type="dxa"/>
        <w:tblLayout w:type="fixed"/>
        <w:tblCellMar>
          <w:top w:w="28" w:type="dxa"/>
          <w:left w:w="28" w:type="dxa"/>
          <w:bottom w:w="28" w:type="dxa"/>
          <w:right w:w="28" w:type="dxa"/>
        </w:tblCellMar>
      </w:tblPr>
      <w:tblGrid>
        <w:gridCol w:w="445"/>
        <w:gridCol w:w="325"/>
        <w:gridCol w:w="326"/>
        <w:gridCol w:w="109"/>
        <w:gridCol w:w="109"/>
        <w:gridCol w:w="165"/>
        <w:gridCol w:w="165"/>
        <w:gridCol w:w="497"/>
        <w:gridCol w:w="254"/>
        <w:gridCol w:w="243"/>
        <w:gridCol w:w="109"/>
        <w:gridCol w:w="109"/>
        <w:gridCol w:w="109"/>
        <w:gridCol w:w="256"/>
        <w:gridCol w:w="531"/>
        <w:gridCol w:w="144"/>
        <w:gridCol w:w="109"/>
        <w:gridCol w:w="109"/>
        <w:gridCol w:w="109"/>
        <w:gridCol w:w="231"/>
        <w:gridCol w:w="886"/>
        <w:gridCol w:w="129"/>
        <w:gridCol w:w="109"/>
        <w:gridCol w:w="109"/>
        <w:gridCol w:w="109"/>
        <w:gridCol w:w="310"/>
        <w:gridCol w:w="642"/>
        <w:gridCol w:w="174"/>
        <w:gridCol w:w="109"/>
        <w:gridCol w:w="109"/>
        <w:gridCol w:w="109"/>
        <w:gridCol w:w="196"/>
        <w:gridCol w:w="751"/>
        <w:gridCol w:w="109"/>
        <w:gridCol w:w="109"/>
        <w:gridCol w:w="109"/>
        <w:gridCol w:w="109"/>
        <w:gridCol w:w="1156"/>
        <w:gridCol w:w="109"/>
        <w:gridCol w:w="196"/>
        <w:gridCol w:w="661"/>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120"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20"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296,600</w:t>
            </w: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783,236</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(731,170)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52,086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withholding for tax, and 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Cashless exercise of 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96,272 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from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395,475</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784,420</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(745,536)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38,882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666,463</w:t>
            </w: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785,416</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(757,653)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27,765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withholding for tax, and 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losses from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668,327</w:t>
            </w: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786,307</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(764,245)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22,062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The accompanying notes are an integral part of these unaudited condensed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VYNE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STOCKHOLDERS' EQUITY</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(U.S. dollars in thousands,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908" w:type="dxa"/>
        <w:jc w:val="center"/>
        <w:tblInd w:w="0" w:type="dxa"/>
        <w:tblLayout w:type="fixed"/>
        <w:tblCellMar>
          <w:top w:w="28" w:type="dxa"/>
          <w:left w:w="28" w:type="dxa"/>
          <w:bottom w:w="28" w:type="dxa"/>
          <w:right w:w="28" w:type="dxa"/>
        </w:tblCellMar>
      </w:tblPr>
      <w:tblGrid>
        <w:gridCol w:w="445"/>
        <w:gridCol w:w="325"/>
        <w:gridCol w:w="326"/>
        <w:gridCol w:w="109"/>
        <w:gridCol w:w="109"/>
        <w:gridCol w:w="165"/>
        <w:gridCol w:w="165"/>
        <w:gridCol w:w="497"/>
        <w:gridCol w:w="254"/>
        <w:gridCol w:w="243"/>
        <w:gridCol w:w="109"/>
        <w:gridCol w:w="109"/>
        <w:gridCol w:w="109"/>
        <w:gridCol w:w="256"/>
        <w:gridCol w:w="531"/>
        <w:gridCol w:w="144"/>
        <w:gridCol w:w="109"/>
        <w:gridCol w:w="109"/>
        <w:gridCol w:w="109"/>
        <w:gridCol w:w="231"/>
        <w:gridCol w:w="886"/>
        <w:gridCol w:w="129"/>
        <w:gridCol w:w="109"/>
        <w:gridCol w:w="109"/>
        <w:gridCol w:w="109"/>
        <w:gridCol w:w="310"/>
        <w:gridCol w:w="642"/>
        <w:gridCol w:w="174"/>
        <w:gridCol w:w="109"/>
        <w:gridCol w:w="109"/>
        <w:gridCol w:w="109"/>
        <w:gridCol w:w="196"/>
        <w:gridCol w:w="751"/>
        <w:gridCol w:w="109"/>
        <w:gridCol w:w="109"/>
        <w:gridCol w:w="109"/>
        <w:gridCol w:w="109"/>
        <w:gridCol w:w="1156"/>
        <w:gridCol w:w="109"/>
        <w:gridCol w:w="196"/>
        <w:gridCol w:w="661"/>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120"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20"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APRIL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319,190</w:t>
            </w: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783,914</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(739,781)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44,133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withholding for tax, and 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Cashless exercise of 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75,306 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from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395,475</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784,420</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(745,536)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38,882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APRIL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667,057</w:t>
            </w: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785,875</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24,637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withholding for tax, and 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668,327</w:t>
            </w:r>
            <w:r>
              <w:rPr>
                <w:color w:val="000000"/>
              </w:rPr>
              <w:t>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786,307</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(764,245)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22,062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40"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VYNE THERAPEUTICS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p>
      <w:pPr>
        <w:pStyle w:val="TextBody"/>
        <w:bidi w:val="0"/>
        <w:spacing w:lineRule="auto" w:line="240" w:before="80" w:after="283"/>
        <w:jc w:val="center"/>
        <w:rPr>
          <w:rFonts w:ascii="Times New Roman;serif" w:hAnsi="Times New Roman;serif"/>
          <w:b w:val="false"/>
          <w:color w:val="000000"/>
          <w:sz w:val="20"/>
        </w:rPr>
      </w:pPr>
      <w:r>
        <w:rPr>
          <w:rFonts w:ascii="Times New Roman;serif" w:hAnsi="Times New Roman;serif"/>
          <w:b w:val="false"/>
          <w:color w:val="000000"/>
          <w:sz w:val="20"/>
        </w:rPr>
        <w:t>(U.S. dollars in thousands)</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46"/>
        <w:gridCol w:w="2501"/>
        <w:gridCol w:w="2508"/>
        <w:gridCol w:w="196"/>
        <w:gridCol w:w="646"/>
        <w:gridCol w:w="109"/>
        <w:gridCol w:w="109"/>
        <w:gridCol w:w="109"/>
        <w:gridCol w:w="109"/>
        <w:gridCol w:w="196"/>
        <w:gridCol w:w="720"/>
        <w:gridCol w:w="156"/>
      </w:tblGrid>
      <w:tr>
        <w:trPr/>
        <w:tc>
          <w:tcPr>
            <w:tcW w:w="2846"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7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required to reconcile net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or discount on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 and operating lease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payables, accrued expenses, employee related obligations and other long-term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and maturity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Withholdings from exercise of options and issuance of shares for stock-based compensation arrangements,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(Decrease) increase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and cash equivalents at beginning of the period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and cash equivalents at 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Supplementary information on investing and financing activities not involving cash flows: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vested shares under employee stock purchase plan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Cashless exercise of pre-funded warrants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7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VYNE Therapeutics Inc.</w:t>
      </w:r>
    </w:p>
    <w:p>
      <w:pPr>
        <w:pStyle w:val="TextBody"/>
        <w:bidi w:val="0"/>
        <w:spacing w:lineRule="auto" w:line="288" w:before="200" w:after="283"/>
        <w:jc w:val="center"/>
        <w:rPr/>
      </w:pPr>
      <w:r>
        <w:rPr>
          <w:rFonts w:ascii="Times New Roman;serif" w:hAnsi="Times New Roman;serif"/>
          <w:b/>
          <w:color w:val="000000"/>
          <w:sz w:val="20"/>
        </w:rPr>
        <w:t>Notes to Unaudited Condensed Consolidated Financial Statements</w:t>
      </w:r>
      <w:r>
        <w:rPr>
          <w:color w:val="000000"/>
        </w:rPr>
        <w:t xml:space="preserv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1 - NATURE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Yarrow Bioscience, Inc. (formerly VYNE Therapeutics Inc.) is a clinical-stage biotechnology company focused on developing transformative therapies to treat autoimmune thyroid diseases. The Company’s lead product candidate, YB-101 (also known as GenSci098), is a humanized, monoclonal antibody targeting the thyroid-stimulating hormone receptor (“TSHR”), which the Company plans to develop for the treatment of Graves’ disease (“GD”) and thyroid eye disease (“TED”). Both GD and TED are serious and poorly treated autoimmune diseases in which autoantibodies against TSHR attack and overstimulate the receptor, leading to a wide spectrum of thyroidal and extra-thyroidal clinical sequelae. As used herein, unless the context otherwise requires, references to the “Company” refer: (1) following the completion of the Merger (as defined below), to Yarrow Bioscience, Inc. (the “Combined Company” or “Yarrow”) and its subsidiaries and (2) prior to the completion of the Merger, to VYNE Therapeutics Inc. (“VYNE”) and its subsidiaries.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The Company believes that this novel and targeted approach represents a potential breakthrough for patients with GD and TED and has the potential to address an important unmet need for therapies with differentiated risk-benefit profiles.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VYNE’s board of directors (the “Board of Directors”) initiated a strategic review to evaluate a range of options to maximize stockholder value, including the assessment of its internal pipeline, financing opportunities and strategic alternatives. Following the strategic review, VYNE entered into an Agreement and Plan of Merger and Reorganization, dated as of December 17, 2025, which was amended on January 30, 2026 (as amended, the "Merger Agreement") with Yarrow Bioscience, Inc. ("Yarrow"), pursuant to which among other matters, Yellow Merger Sub Corp., a direct, wholly owned subsidiary of VYNE ("Merger Sub"), merged with and into Yarrow, with Yarrow surviving as a wholly owned subsidiary of VYNE and the surviving corporation of the merger (the "Merger"). Following the completion of the Merger on July 27, 2026, the current business of Yarrow became the Company’s primary business.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2025, VYNE initiated the repeat non-clinical toxicology study of VYN202 in male dogs to potentially maximize strategic optionality for the asset. The study is expected to be completed in the second half of 2026, with a final report expected in the fourth quarter of 2026. As such, the Company continues to evaluate opportunities for repibresib and VYN202, which may include a sale, license, transfer, disposition, divestiture or other monetization transaction to a third party or to a related party.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the sale of the Company's legacy commercial business (the “MST Franchise”) to Journey Medical Corporation ("Journey") in January 2022 and the Company's licensing arrangements with Tay Therapeutics ("Tay"), see "Note 3 - Strategic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Delaware corporation and operates as one business segment. Its principal executive offices are in New Haven, Connecticut.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The Merger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strategic review described above, on December 17, 2025, VYNE entered into the Merger Agreement with Yarrow, then a privately held biotechnology company advancing YB-101 (also known as GenSci098), a clinical-stage, humanized monoclonal antibody targeting the thyroid-stimulating hormone receptor for the treatment of GD and TED, pursuant to which Yarrow became a wholly owned subsidiary of VYNE. In connection with the completion of the Merger, VYNE changed its name to “Yarrow Bioscience, Inc.” In connection with the Merger, the Company filed a registration statement on Form S-4, which the Securities and Exchange Commission ("SEC") declared effective on June 15, 2026, and the related definitive proxy statement/prospectus was filed and first mailed to the Company’s stockholders on or about June 15, 2026. On July 16, 2026, VYNE held a special meeting of stockholders (the “Special Meeting”), and all of the proposals included in the proxy statement/prospectus were approved by VYNE stockholders, other than the proposal to adjourn the Special Meeting, which was not presented to the VYNE stockholders. On July 27, 2026 (the “Closing Date”), the Company consummated the acquisition of Yarrow in accordance with the terms of the Merger Agreement. Following the Merger, the current business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Yarrow became the primary business of the Combined Company and the Combined Company's common stock trades on Nasdaq under the trade symbol “YARW.”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Yarrow Series A Preferred Stock Financing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certain institutional and accredited investors (the "Series A Investors"), led by an affiliate of RTW Investments and Yarrow entered into a Series A stock purchase agreement, pursuant to which such persons invested in and purchased an aggregate of 20,242,911 shares of Yarrow Series A preferred stock at a purchase price of $4.94 per share for aggregate gross proceeds to Yarrow of $100.0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Yarrow Pre-Closing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and delivery of the Merger Agreement, the Series A Investors also entered into a Securities Purchase Agreement with Yarrow (the "Securities Purchase Agreement"), pursuant to which such investors purchased, immediately prior to the Merger, shares of Yarrow common stock or, in lieu thereof, Yarrow pre-funded warrants, for gross proceeds of approximately $100.0 million (the "Yarrow Pre-Closing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of Yarrow common stock and Yarrow pre-funded warrants that were issued in the Yarrow Pre-Closing Financing were or have the right to be, respectively, converted into shares of VYNE common stock in the Merger.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Pre-Closing Special Cash Dividend</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10, 2026, the Board of Directors declared a special cash dividend of $17.3 million as of a record date of July 22, 2026, with a payment date of July 23, 2026 (the “special cash dividend”). Holders of VYNE's common stock and warrants of record as of July 22, 2026 were entitled to receive the special cash dividend.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Reverse Stock Split and Recasting of Per-Share Amounts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12, 2025, the Company received a notification from The Nasdaq Stock Market, LLC (“Nasdaq”) that the Company was not in compliance with the requirement to maintain a minimum closing bid price of $1.00 per share, as set forth in Nasdaq Listing Rule 5550(a)(2), because the closing bid price of the Company’s common stock was below $1.00 per share for 30 consecutive business days. The Company initially had 180 calendar days, or until March 10, 2026, to regain compliance with the minimum bid price requirement. On March 11, 2026, the Company received a letter (the “Extension Notice”) from Nasdaq notifying the Company that its request for an extension to regain compliance with the minimum bid price requirement has been granted, and the Company had an additional 180 calendar days, or until September 7, 2026, to regain compliance with the minimum bid price requirement. On July 16, 2026, the Board of Directors approved, and on July 24, 2026 the Company effected, a 1-for-50 reverse stock split of its outstanding shares of common stock. The reverse stock split was intended to support the Merger and to facilitate compliance with Nasdaq's initial listing requirements, including the minimum bid price requirement. No fractional shares were issued in connection with the reverse stock split. In lieu of fractional shares, stockholders who would otherwise have been entitled to receive a fractional share received cash payments. The par value of VYNE common stock remained unchanged as a result of the reverse stock split. Proportionate adjustments were made to the exercise prices and number of shares underlying the Company's outstanding stock options, restricted stock units, warrants and other equity awards, as well as the number of shares available for issuance under the Company's equity incentive plans. On August 10, 2026, the Combined Company received a letter from the Nasdaq providing that the Combined Company had regained compliance with the minimum bid price requirement and that Nasdaq considers this matter closed.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share and per share amounts presented in these condensed consolidated financial statements have been retroactively adjusted to reflect the reverse stock split for all periods presented.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cash and cash equivalents of $22.9 million and an accumulated deficit of $764.2 million. The Company had no outstanding debt as of June 30, 2026. For the six months ended June 30, 2026, the Company incurred a net loss of $6.6 million and used $6.1 million of cash in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primary uses of capital were historically compensation and related expenses, research and development costs, legal and other regulatory expenses and general overhead costs. In anticipation of the Merger, the Company suspended and substantially wound down its research and development activities and operations were limited. The Company's future operations are highly dependent on the success of the Merger with Yarrow, which closed on the Closing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pPr>
      <w:r>
        <w:rPr>
          <w:rFonts w:ascii="Times New Roman;serif" w:hAnsi="Times New Roman;serif"/>
          <w:b w:val="false"/>
          <w:color w:val="000000"/>
          <w:sz w:val="20"/>
        </w:rPr>
        <w:t>In accordance with Accounting Standards Codification (“ASC”) Subtopic 205-40, Disclosure of Uncertainties about an Entity’s Ability to Co</w:t>
      </w:r>
      <w:r>
        <w:rPr>
          <w:rFonts w:ascii="Times New Roman;serif" w:hAnsi="Times New Roman;serif"/>
          <w:b w:val="false"/>
          <w:i/>
          <w:color w:val="000000"/>
          <w:sz w:val="20"/>
        </w:rPr>
        <w:t>ntinue as a Going Concern</w:t>
      </w:r>
      <w:r>
        <w:rPr>
          <w:rFonts w:ascii="Times New Roman;serif" w:hAnsi="Times New Roman;serif"/>
          <w:b w:val="false"/>
          <w:color w:val="000000"/>
          <w:sz w:val="20"/>
        </w:rPr>
        <w:t xml:space="preserve">, the Company, giving effect to the consummation of the Merger that occurred subsequent to June 30, 2026 has evaluated whether there are conditions and events, considered in the aggregate, that raise substantial doubt about the Company’s ability to continue as a going concern within one year after the date that its unaudited condensed consolidated financial statements are issued. The Company believes, after giving effect to the consummation of the Merger that occurred subsequent to June 30, 2026, its existing cash and cash equivalents are sufficient to fund its operating and capital expenditure requirements for a period of at least 12 months from the date of issuance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2 - SIGNIFICANT ACCOUNTING POLICIES</w:t>
      </w: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a.Basis of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of the Company have been prepared in accordance with accounting principles generally accepted in the United States of America ("U.S. GAAP") for interim financial statements. In the opinion of management, the Company has made all necessary adjustments, which include normal recurring adjustments necessary for a fair statement of the Company’s unaudited condensed consolidated financial position, results of operations, cash flow and statement of stockholders' equity for the interim periods presented. Certain information and disclosures normally included in the annual audited consolidated financial statements prepared in accordance with U.S. GAAP have been condensed or omitted.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Company's audited consolidated financial statements contained in the Company's Annual Report on Form 10-K for the year ended December 31, 2025, as filed with the SEC on February 27,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results for the three and six months ended June 30, 2026 are not necessarily indicative of the results expected for the year ending December 31, 2026.</w:t>
      </w: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b.Principles of consolidation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the Company and its subsidiaries. Intercompany balances and transactions have been eliminated upon consolidation.</w:t>
      </w: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c.Use of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conformity with U.S. GAAP requires management to make estimates and assumptions that affect the reported amounts of assets and liabilities, the disclosure of contingent assets and liabilities at the date of the unaudited condensed consolidated financial statements and reported amounts of income and expenses during the reporting period. Actual results could differ from the Company’s estimates.</w:t>
      </w: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d.Cash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cash equivalents to be all short-term, highly liquid investments, which include short-term bank deposits, treasury bills and money market funds with original maturities of three months or less from the date of purchase that are not restricted as to withdrawal or use and are readily convertible to known amounts of cash. </w:t>
      </w: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e.Marketable securities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Marketable securities with original maturities of greater than three months and remaining maturities of less than one year from the balance sheet date are classified as short-term. Marketable securities with remaining maturities of greater than one year from the balance sheet date are classified as long-term.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classifies all marketable securities as available-for-sale debt securities. The Company’s marketable securities are measured and reported at fair value using either quoted prices in active markets for identical securities or quoted prices in markets that are not active for identical or similar securities. Unrealized gains and losses are reported as a separate component of stockholders’ equity. The cost of securities sold is determined on a specific identification basis, and realized gains and losses, if any, are included in other income, net within the unaudited condensed consolidated statement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f.Property and equipment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net of accumulated depreciation. The Company’s property and equipment are depreciated by the straight-line method on the basis of their estimated useful life.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Estimated useful lives are as follows:</w:t>
      </w:r>
    </w:p>
    <w:tbl>
      <w:tblPr>
        <w:tblW w:w="3493" w:type="dxa"/>
        <w:jc w:val="left"/>
        <w:tblInd w:w="0" w:type="dxa"/>
        <w:tblLayout w:type="fixed"/>
        <w:tblCellMar>
          <w:top w:w="28" w:type="dxa"/>
          <w:left w:w="28" w:type="dxa"/>
          <w:bottom w:w="28" w:type="dxa"/>
          <w:right w:w="28" w:type="dxa"/>
        </w:tblCellMar>
      </w:tblPr>
      <w:tblGrid>
        <w:gridCol w:w="554"/>
        <w:gridCol w:w="486"/>
        <w:gridCol w:w="489"/>
        <w:gridCol w:w="574"/>
        <w:gridCol w:w="574"/>
        <w:gridCol w:w="816"/>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g.Revenue recognition</w:t>
      </w:r>
    </w:p>
    <w:p>
      <w:pPr>
        <w:pStyle w:val="TextBody"/>
        <w:bidi w:val="0"/>
        <w:spacing w:lineRule="auto" w:line="288" w:before="200" w:after="283"/>
        <w:jc w:val="both"/>
        <w:rPr/>
      </w:pPr>
      <w:r>
        <w:rPr>
          <w:rFonts w:ascii="Times New Roman;serif" w:hAnsi="Times New Roman;serif"/>
          <w:b w:val="false"/>
          <w:color w:val="000000"/>
          <w:sz w:val="20"/>
          <w:shd w:fill="FFFFFF" w:val="clear"/>
        </w:rPr>
        <w:t>The Company accounts for its revenue transactions under the Financial Accounting Standards Board ("FASB") ASC Topic 606, </w:t>
      </w:r>
      <w:r>
        <w:rPr>
          <w:rFonts w:ascii="Times New Roman;serif" w:hAnsi="Times New Roman;serif"/>
          <w:b w:val="false"/>
          <w:i/>
          <w:color w:val="000000"/>
          <w:sz w:val="20"/>
          <w:shd w:fill="FFFFFF" w:val="clear"/>
        </w:rPr>
        <w:t xml:space="preserve">Revenue from Contracts with Customers </w:t>
      </w:r>
      <w:r>
        <w:rPr>
          <w:rFonts w:ascii="Times New Roman;serif" w:hAnsi="Times New Roman;serif"/>
          <w:b w:val="false"/>
          <w:color w:val="000000"/>
          <w:sz w:val="20"/>
          <w:shd w:fill="FFFFFF" w:val="clear"/>
        </w:rPr>
        <w:t>("ASC Topic 606"). In accordance with ASC Topic 606, the Company recognizes revenues when its customers obtain control of its product for an amount that reflects the consideration it expects to receive from its customers in exchange for that product. To determine revenue recognition for contracts that are determined to be in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 The Company only applies the five-step model to contracts when it is probable that the Company will collect the consideration it is entitled to in exchange for the goods or services it transfers to the customer.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such performance obligation is satisfied.</w:t>
      </w:r>
    </w:p>
    <w:p>
      <w:pPr>
        <w:pStyle w:val="TextBody"/>
        <w:bidi w:val="0"/>
        <w:spacing w:lineRule="auto" w:line="288" w:before="200" w:after="283"/>
        <w:jc w:val="both"/>
        <w:rPr/>
      </w:pPr>
      <w:r>
        <w:rPr>
          <w:rFonts w:ascii="Times New Roman;serif" w:hAnsi="Times New Roman;serif"/>
          <w:b w:val="false"/>
          <w:color w:val="000000"/>
          <w:sz w:val="20"/>
          <w:shd w:fill="FFFFFF" w:val="clear"/>
        </w:rPr>
        <w:t>Following the disposition of t</w:t>
      </w:r>
      <w:r>
        <w:rPr>
          <w:rFonts w:ascii="Times New Roman;serif" w:hAnsi="Times New Roman;serif"/>
          <w:b w:val="false"/>
          <w:color w:val="000000"/>
          <w:sz w:val="20"/>
        </w:rPr>
        <w:t xml:space="preserve">he MST Franchise in January 2022, the Company does not have any revenue generating products; however, the Company may receive royalty revenues from the sale of specified products (see "Note 4 - Discontinued Operations").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Royalty Revenues and Collaboration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previously licensed the rights to Finacea foam to LEO Pharma A/S ("LEO Pharma") in exchange for certain royalty payments. Finacea foam was not part of the MST Franchise that was sold in January 2022. Royalties are recognized as revenue when the product is sold by LEO Pharma. For both the three months ended June 30, 2026 and 2025, royalty revenues were $0.1 million. For the six months ended June 30, 2026 and 2025, royalty revenues were $0.2 million and $0.3 million, respectively. On June 11, 2026, LEO Pharma informed VYNE of its decision to terminate its license agreement for Finacea foam effective as of December 31,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collaboration agreements under ASC 606, the Company identifies the contract, identifies the performance obligations, determines the transaction price, allocates the contract transaction price to the performance obligations, and recognizes the revenue when (or as) the performance obligation is satisfied.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identifies the performance obligations included within the agreement and evaluates which performance obligations are distinct. Upfront payments for licenses are evaluated to determine if the license is capable of being distinct from the obligations to participate on certain development and/or commercialization committees with the collaboration partners and supply manufactured drug product for clinical trials. For performance obligations that are satisfied over time, the Company utilizes the input method and revenue is recognized by consistently applying a method of measuring progress toward complete satisfaction of that performance obligation. The Company periodically reviews estimated periods of performance based on the progress under each arrangement and accounts for the impact of any changes in estimated periods of performance on a prospective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Milestone payments are a form of variable consideration as the payments are contingent upon achievement of a substantive event. Milestone payments are estimated and are included in the transaction price when the Company determines that it is probable that there will not be a significant reversal of cumulative revenue recognized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hanging="720"/>
        <w:jc w:val="both"/>
        <w:rPr>
          <w:rFonts w:ascii="Times New Roman;serif" w:hAnsi="Times New Roman;serif"/>
          <w:b/>
          <w:color w:val="000000"/>
          <w:sz w:val="20"/>
        </w:rPr>
      </w:pPr>
      <w:r>
        <w:rPr>
          <w:rFonts w:ascii="Times New Roman;serif" w:hAnsi="Times New Roman;serif"/>
          <w:b/>
          <w:color w:val="000000"/>
          <w:sz w:val="20"/>
        </w:rPr>
        <w:t>h.Collaboration arrangements</w:t>
      </w:r>
    </w:p>
    <w:p>
      <w:pPr>
        <w:pStyle w:val="TextBody"/>
        <w:bidi w:val="0"/>
        <w:spacing w:lineRule="auto" w:line="288" w:before="200" w:after="283"/>
        <w:jc w:val="both"/>
        <w:rPr/>
      </w:pPr>
      <w:r>
        <w:rPr>
          <w:rFonts w:ascii="Times New Roman;serif" w:hAnsi="Times New Roman;serif"/>
          <w:b w:val="false"/>
          <w:color w:val="000000"/>
          <w:sz w:val="20"/>
        </w:rPr>
        <w:t xml:space="preserve">The Company analyzes its collaboration arrangements to assess whether they are within the scope of ASC Topic 808, </w:t>
      </w:r>
      <w:r>
        <w:rPr>
          <w:rFonts w:ascii="Times New Roman;serif" w:hAnsi="Times New Roman;serif"/>
          <w:b w:val="false"/>
          <w:i/>
          <w:color w:val="000000"/>
          <w:sz w:val="20"/>
        </w:rPr>
        <w:t>Collaborative Arrangements</w:t>
      </w:r>
      <w:r>
        <w:rPr>
          <w:color w:val="000000"/>
        </w:rPr>
        <w:t xml:space="preserve"> </w:t>
      </w:r>
      <w:r>
        <w:rPr>
          <w:rFonts w:ascii="Times New Roman;serif" w:hAnsi="Times New Roman;serif"/>
          <w:b w:val="false"/>
          <w:color w:val="000000"/>
          <w:sz w:val="20"/>
        </w:rPr>
        <w:t xml:space="preserve">("ASC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will assess whether aspects of the arrangement between it and its collaboration partner are within the scope of other accounting literature. </w:t>
      </w:r>
    </w:p>
    <w:p>
      <w:pPr>
        <w:pStyle w:val="TextBody"/>
        <w:bidi w:val="0"/>
        <w:spacing w:lineRule="auto" w:line="288" w:before="200" w:after="283"/>
        <w:ind w:left="0" w:right="0" w:hanging="720"/>
        <w:jc w:val="both"/>
        <w:rPr>
          <w:rFonts w:ascii="Times New Roman;serif" w:hAnsi="Times New Roman;serif"/>
          <w:b/>
          <w:color w:val="000000"/>
          <w:sz w:val="20"/>
        </w:rPr>
      </w:pPr>
      <w:r>
        <w:rPr>
          <w:rFonts w:ascii="Times New Roman;serif" w:hAnsi="Times New Roman;serif"/>
          <w:b/>
          <w:color w:val="000000"/>
          <w:sz w:val="20"/>
        </w:rPr>
        <w:t>i.Research and development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expenses associated with research and development are expensed as incurred. Research and development expenses include expenses directly attributable to conducting the Company's research and development programs, including expenses incurred under arrangements with third parties, such as contract research organizations, contract development and manufacturing organizations and consultants as well as the cost of clinical trials, clinical trial supplies, salaries, stock-based compensation expenses, payroll taxes and other employee benefits.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Expenses are considered incurred based on the evaluation of the progress to completion of specific tasks under each contract using information and data provided by the service providers and vendors or the Company's estimate of the level of service that has been performed at each reporting date, whereas payments are dictated by the terms of each agreement, such as the successful enrollment of a certain number of patients, site initiation, and the completion of clinical trial milestones. As such, depending on the timing of payment relative to the receipt of goods or services, management may record prepaid expenses, accrued expenses, or other assets. </w:t>
      </w:r>
    </w:p>
    <w:p>
      <w:pPr>
        <w:pStyle w:val="TextBody"/>
        <w:bidi w:val="0"/>
        <w:spacing w:lineRule="auto" w:line="288" w:before="200" w:after="283"/>
        <w:ind w:left="0" w:right="0" w:hanging="720"/>
        <w:jc w:val="both"/>
        <w:rPr>
          <w:rFonts w:ascii="Times New Roman;serif" w:hAnsi="Times New Roman;serif"/>
          <w:b/>
          <w:color w:val="000000"/>
          <w:sz w:val="20"/>
        </w:rPr>
      </w:pPr>
      <w:r>
        <w:rPr>
          <w:rFonts w:ascii="Times New Roman;serif" w:hAnsi="Times New Roman;serif"/>
          <w:b/>
          <w:color w:val="000000"/>
          <w:sz w:val="20"/>
        </w:rPr>
        <w:t>j.Credit losses</w:t>
      </w:r>
    </w:p>
    <w:p>
      <w:pPr>
        <w:pStyle w:val="TextBody"/>
        <w:bidi w:val="0"/>
        <w:spacing w:lineRule="auto" w:line="288" w:before="200" w:after="283"/>
        <w:jc w:val="both"/>
        <w:rPr/>
      </w:pPr>
      <w:r>
        <w:rPr>
          <w:rFonts w:ascii="Times New Roman;serif" w:hAnsi="Times New Roman;serif"/>
          <w:b w:val="false"/>
          <w:color w:val="000000"/>
          <w:sz w:val="20"/>
        </w:rPr>
        <w:t xml:space="preserve">An allowance is maintained for potential credit losses </w:t>
      </w:r>
      <w:r>
        <w:rPr>
          <w:rFonts w:ascii="Times New Roman;serif" w:hAnsi="Times New Roman;serif"/>
          <w:b w:val="false"/>
          <w:color w:val="000000"/>
          <w:sz w:val="20"/>
          <w:shd w:fill="FFFFFF" w:val="clear"/>
        </w:rPr>
        <w:t xml:space="preserve">in accordance with accounting standards update ("ASU") No. 2016-13, </w:t>
      </w:r>
      <w:r>
        <w:rPr>
          <w:rFonts w:ascii="Times New Roman;serif" w:hAnsi="Times New Roman;serif"/>
          <w:b w:val="false"/>
          <w:i/>
          <w:color w:val="000000"/>
          <w:sz w:val="20"/>
          <w:shd w:fill="FFFFFF" w:val="clear"/>
        </w:rPr>
        <w:t>Financial Instruments - Credit Losses</w:t>
      </w:r>
      <w:r>
        <w:rPr>
          <w:rFonts w:ascii="Times New Roman;serif" w:hAnsi="Times New Roman;serif"/>
          <w:b w:val="false"/>
          <w:color w:val="000000"/>
          <w:sz w:val="20"/>
          <w:shd w:fill="FFFFFF" w:val="clear"/>
        </w:rPr>
        <w:t>. The Company evaluates its allowance based on expected losses rather than incurred losses, which is known as the current expected credit loss (“CECL”) model. The allowance is determined using the loss rate approach and is measured on a collective (pool) basis when similar risk characteristics exist. Where financial instruments do not share risk characteristics, they are evaluated on an individual basis. The allowance is based on relevant available information, from internal and external sources, relating to past events, current conditions,</w:t>
      </w:r>
      <w:r>
        <w:rPr>
          <w:color w:val="000000"/>
        </w:rPr>
        <w:t xml:space="preserve"> </w:t>
      </w:r>
      <w:r>
        <w:rPr>
          <w:rFonts w:ascii="Times New Roman;serif" w:hAnsi="Times New Roman;serif"/>
          <w:b w:val="false"/>
          <w:color w:val="000000"/>
          <w:sz w:val="20"/>
        </w:rPr>
        <w:t>and reasonable and supportable forecasts. Trade receivable balances are written off against the allowance when it is deemed probable that the receivable will not be collected. Trade receivables, net are stated net of reserves for certain sales allowances and credit losses. Credit losses were not material for the three and six months ended June 30, 2026 and 2025.</w:t>
      </w:r>
    </w:p>
    <w:p>
      <w:pPr>
        <w:pStyle w:val="TextBody"/>
        <w:bidi w:val="0"/>
        <w:spacing w:lineRule="auto" w:line="288" w:before="200" w:after="283"/>
        <w:ind w:left="0" w:right="0" w:hanging="720"/>
        <w:jc w:val="both"/>
        <w:rPr>
          <w:rFonts w:ascii="Times New Roman;serif" w:hAnsi="Times New Roman;serif"/>
          <w:b/>
          <w:color w:val="000000"/>
          <w:sz w:val="20"/>
        </w:rPr>
      </w:pPr>
      <w:r>
        <w:rPr>
          <w:rFonts w:ascii="Times New Roman;serif" w:hAnsi="Times New Roman;serif"/>
          <w:b/>
          <w:color w:val="000000"/>
          <w:sz w:val="20"/>
        </w:rPr>
        <w:t>k.Fair value measurement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lineRule="auto" w:line="288" w:before="20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Level 1:    Quoted prices (unadjusted) in active markets that are accessible at the measurement date for assets or liabilities. The fair value hierarchy gives the highest priority to Level 1 inputs.</w:t>
      </w:r>
    </w:p>
    <w:p>
      <w:pPr>
        <w:pStyle w:val="TextBody"/>
        <w:bidi w:val="0"/>
        <w:spacing w:lineRule="auto" w:line="288" w:before="20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Level 2:    Observable prices that are based on inputs not quoted on active markets but corroborated by market data or active market data of similar or identical assets or liabilities.</w:t>
      </w:r>
    </w:p>
    <w:p>
      <w:pPr>
        <w:pStyle w:val="TextBody"/>
        <w:bidi w:val="0"/>
        <w:spacing w:lineRule="auto" w:line="288" w:before="20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are used when little or no market data is available. The fair value hierarchy gives the lowest priority to Level 3 inputs.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fair value, the Company utilizes valuation techniques that maximize the use of observable inputs and minimize the use of unobservable inputs to the extent possible and considers counterparty credit risk in its assessment of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hanging="720"/>
        <w:jc w:val="both"/>
        <w:rPr>
          <w:rFonts w:ascii="Times New Roman;serif" w:hAnsi="Times New Roman;serif"/>
          <w:b/>
          <w:color w:val="000000"/>
          <w:sz w:val="20"/>
        </w:rPr>
      </w:pPr>
      <w:r>
        <w:rPr>
          <w:rFonts w:ascii="Times New Roman;serif" w:hAnsi="Times New Roman;serif"/>
          <w:b/>
          <w:color w:val="000000"/>
          <w:sz w:val="20"/>
        </w:rPr>
        <w:t>l.Income taxes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Deferred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 Given the Company’s losses, the Company has provided a full valuation allowance with respect to its deferred tax assets.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Uncertainty in income tax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follows a two-step approach in recognizing and measuring uncertain tax positions. The first step is to evaluate the tax position for recognition by determining if the available evidence indicates that it is more likely than not that the position will be sustained based on technical merits. If this threshold is met, the second step is to measure the tax position as the largest amount that has more than a 50% likelihood of being realized upon ultimate settlement.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Company’s net operating loss ("NOL") carryforwards are subject to annual limitations imposed by Section 382 of the Internal Revenue Code. The Company completed a Section 382 study through March 31, 2025, identifying ownership changes in connection with the 2020 merger between Menlo Therapeutics (the Company's predecessor company) and Foamix Pharmaceuticals Ltd. and with the private placement transaction in November 2023. These ownership changes resulted in federal NOLs expected to expire unutilized. The Company has not completed a Section 382 study through June 30, 2026, however, the Company</w:t>
      </w:r>
      <w:r>
        <w:rPr>
          <w:color w:val="000000"/>
          <w:shd w:fill="FFFFFF" w:val="clear"/>
        </w:rPr>
        <w:t xml:space="preserve"> </w:t>
      </w:r>
      <w:r>
        <w:rPr>
          <w:rFonts w:ascii="Times New Roman;serif" w:hAnsi="Times New Roman;serif"/>
          <w:b w:val="false"/>
          <w:color w:val="000000"/>
          <w:sz w:val="20"/>
          <w:shd w:fill="FFFFFF" w:val="clear"/>
        </w:rPr>
        <w:t xml:space="preserve">may have experienced ownership changes in connection with the Merger between VYNE and Yarrow.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One Big Beautiful Bill Act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which made comprehensive revisions to federal corporate income tax provisions, including those related to research and development expense treatment, full expensing of business assets, interest deduction limitations, and international tax regimes such as global intangible low-taxed income, foreign-derived intangible income, and controlled foreign corporation look-through rules. The enactment of this legislation did not have a material impact on the Company’s income tax provision for the three and six months ended June 30, 2026.</w:t>
      </w:r>
    </w:p>
    <w:p>
      <w:pPr>
        <w:pStyle w:val="TextBody"/>
        <w:bidi w:val="0"/>
        <w:spacing w:lineRule="auto" w:line="288" w:before="200" w:after="283"/>
        <w:ind w:left="0" w:right="0" w:hanging="720"/>
        <w:jc w:val="both"/>
        <w:rPr>
          <w:rFonts w:ascii="Times New Roman;serif" w:hAnsi="Times New Roman;serif"/>
          <w:b/>
          <w:color w:val="000000"/>
          <w:sz w:val="20"/>
        </w:rPr>
      </w:pPr>
      <w:r>
        <w:rPr>
          <w:rFonts w:ascii="Times New Roman;serif" w:hAnsi="Times New Roman;serif"/>
          <w:b/>
          <w:color w:val="000000"/>
          <w:sz w:val="20"/>
        </w:rPr>
        <w:t>m.Net loss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loss per share, basic and diluted, is computed on the basis of the net loss from continuing operations for the period divided by the weighted average number of shares of common stock outstanding during the period. Diluted net loss per share is based upon the weighted average number of shares of common stock and of common stock equivalents outstanding when dilutive. The Company has issued Pre-Funded Warrants to purchase the Company’s common stock (the "Pre-Funded Warrants"), which do not expire until they are exercised in full (see “Note 8 - Stockholders' Equity”). Pursuant to the guidance of ASC 260-10, the Company concluded that because the equity-classified Pre-Funded Warrants were immediately exercisable for little or no cash consideration, due to the non-substantive exercise price, all of the necessary conditions for issuance of the underlying shares of common stock had been met when the Pre-Funded Warrants were issued. Therefore, the underlying shares of common stock should be included in the denominator for both the calculation of basic and diluted net loss per share of common stock for the three and six months ended June 30, 2026 and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stock options, restricted stock units (“RSUs”) and warrants were excluded from the calculation of diluted net loss per share because their effect would have been anti-dilutive for the periods presented (data presented as number of shares):</w:t>
      </w:r>
    </w:p>
    <w:tbl>
      <w:tblPr>
        <w:tblW w:w="5828" w:type="dxa"/>
        <w:jc w:val="left"/>
        <w:tblInd w:w="0" w:type="dxa"/>
        <w:tblLayout w:type="fixed"/>
        <w:tblCellMar>
          <w:top w:w="28" w:type="dxa"/>
          <w:left w:w="28" w:type="dxa"/>
          <w:bottom w:w="28" w:type="dxa"/>
          <w:right w:w="28" w:type="dxa"/>
        </w:tblCellMar>
      </w:tblPr>
      <w:tblGrid>
        <w:gridCol w:w="1125"/>
        <w:gridCol w:w="988"/>
        <w:gridCol w:w="991"/>
        <w:gridCol w:w="109"/>
        <w:gridCol w:w="109"/>
        <w:gridCol w:w="162"/>
        <w:gridCol w:w="162"/>
        <w:gridCol w:w="360"/>
        <w:gridCol w:w="361"/>
        <w:gridCol w:w="176"/>
        <w:gridCol w:w="109"/>
        <w:gridCol w:w="109"/>
        <w:gridCol w:w="109"/>
        <w:gridCol w:w="360"/>
        <w:gridCol w:w="361"/>
        <w:gridCol w:w="237"/>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285" w:type="dxa"/>
            <w:gridSpan w:val="6"/>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numbers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 and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71,863 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hanging="720"/>
        <w:jc w:val="both"/>
        <w:rPr>
          <w:rFonts w:ascii="Times New Roman;serif" w:hAnsi="Times New Roman;serif"/>
          <w:b/>
          <w:color w:val="000000"/>
          <w:sz w:val="20"/>
        </w:rPr>
      </w:pPr>
      <w:r>
        <w:rPr>
          <w:rFonts w:ascii="Times New Roman;serif" w:hAnsi="Times New Roman;serif"/>
          <w:b/>
          <w:color w:val="000000"/>
          <w:sz w:val="20"/>
        </w:rPr>
        <w:t>n.Concentration of credit risks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 of credit risk consist principally of cash and cash equivalents, marketable securities and accounts receivable. The Company deposits cash and cash equivalents with highly rated financial institutions and, as a matter of policy, limits the amounts of credit exposure to any single financial institution. In addition, all marketable securities carry a high credit rating or are government insured. The Company has not experienced any material credit losses in these accounts and does not believe it is exposed to significant credit risk on these instruments.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Existing royalty receivables relate to one customer, but do not present a credit risk due to their immaterial nature. </w:t>
      </w:r>
    </w:p>
    <w:p>
      <w:pPr>
        <w:pStyle w:val="TextBody"/>
        <w:bidi w:val="0"/>
        <w:spacing w:lineRule="auto" w:line="288" w:before="200" w:after="283"/>
        <w:ind w:left="0" w:right="0" w:hanging="720"/>
        <w:jc w:val="both"/>
        <w:rPr>
          <w:rFonts w:ascii="Times New Roman;serif" w:hAnsi="Times New Roman;serif"/>
          <w:b/>
          <w:color w:val="000000"/>
          <w:sz w:val="20"/>
        </w:rPr>
      </w:pPr>
      <w:r>
        <w:rPr>
          <w:rFonts w:ascii="Times New Roman;serif" w:hAnsi="Times New Roman;serif"/>
          <w:b/>
          <w:color w:val="000000"/>
          <w:sz w:val="20"/>
        </w:rPr>
        <w:t>o.Warrants</w:t>
      </w:r>
    </w:p>
    <w:p>
      <w:pPr>
        <w:pStyle w:val="TextBody"/>
        <w:bidi w:val="0"/>
        <w:spacing w:lineRule="auto" w:line="288" w:before="240" w:after="283"/>
        <w:jc w:val="both"/>
        <w:rPr/>
      </w:pPr>
      <w:r>
        <w:rPr>
          <w:rFonts w:ascii="Times New Roman;serif" w:hAnsi="Times New Roman;serif"/>
          <w:b w:val="false"/>
          <w:color w:val="000000"/>
          <w:sz w:val="20"/>
        </w:rPr>
        <w:t xml:space="preserve">The Company accounts for warrants as either equity-classified or liability-classified instruments based on an assessment of the warrant’s specific terms and applicable authoritative guidance in ASC Topic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 xml:space="preserve">(“ASC 480”) and ASC Topic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(“ASC 815”).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reporting period end date while the warrants are outstanding. For issued warrants that meet all of the criteria for equity classification, the warrants are required to be recorded as a component of additional paid-in capital at the time of issuance. For issued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and comprehensive loss. Liability-classified warrants are required to be accounted for at fair value both on the date of issuance and on subsequent accounting period ending dates, with all changes in fair value after the issuance date recorded as a component of other income, net in the statements of operations and comprehensive loss. As of June 30, 2026 and December 31, 2025, all of the Company's outstanding warrants were equity-classified warrants. </w:t>
      </w:r>
    </w:p>
    <w:p>
      <w:pPr>
        <w:pStyle w:val="TextBody"/>
        <w:bidi w:val="0"/>
        <w:spacing w:lineRule="auto" w:line="288" w:before="200" w:after="283"/>
        <w:ind w:left="0" w:right="0" w:hanging="720"/>
        <w:jc w:val="both"/>
        <w:rPr>
          <w:rFonts w:ascii="Times New Roman;serif" w:hAnsi="Times New Roman;serif"/>
          <w:b/>
          <w:color w:val="000000"/>
          <w:sz w:val="20"/>
        </w:rPr>
      </w:pPr>
      <w:r>
        <w:rPr>
          <w:rFonts w:ascii="Times New Roman;serif" w:hAnsi="Times New Roman;serif"/>
          <w:b/>
          <w:color w:val="000000"/>
          <w:sz w:val="20"/>
        </w:rPr>
        <w:t>p.Newly issued and recently adopted accounting pronouncements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20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"Comprehensive Income (Topic 220)—Disaggregation of Income Statement Expenses" </w:t>
      </w:r>
      <w:r>
        <w:rPr>
          <w:rFonts w:ascii="Times New Roman;serif" w:hAnsi="Times New Roman;serif"/>
          <w:b w:val="false"/>
          <w:color w:val="000000"/>
          <w:sz w:val="20"/>
        </w:rPr>
        <w:t>("ASU 2024-03"), to improve financial reporting by requiring disclosures in the notes to financial statements about specific types of expenses included in the expense captions presented on the face of the statement of operations and comprehensive loss. The requirements of the ASU, as clarified by ASU 2025-01 issued in January 2025, are effective for annual reporting periods beginning after December 15, 2026 and for interim reporting periods beginning after December 15, 2027, with early adoption permitted. The requirements will be applied prospectively with the option for retrospective application. The Company is evaluating the impact the adoption of this guidance will have on its unaudited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STRATEGIC AGREEMENTS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Agreements with Tay Therapeutics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Evaluation and Option Agreement</w:t>
      </w:r>
    </w:p>
    <w:p>
      <w:pPr>
        <w:pStyle w:val="TextBody"/>
        <w:bidi w:val="0"/>
        <w:spacing w:lineRule="auto" w:line="288" w:before="240" w:after="283"/>
        <w:jc w:val="both"/>
        <w:rPr/>
      </w:pPr>
      <w:r>
        <w:rPr>
          <w:rFonts w:ascii="Times New Roman;serif" w:hAnsi="Times New Roman;serif"/>
          <w:b w:val="false"/>
          <w:color w:val="000000"/>
          <w:sz w:val="20"/>
        </w:rPr>
        <w:t xml:space="preserve">In April 2021, the Company entered into an Evaluation and Option Agreement (the “Option Agreement”) with Tay. For a description of the Option Agreement, see Note 3, </w:t>
      </w:r>
      <w:r>
        <w:rPr>
          <w:color w:val="000000"/>
        </w:rPr>
        <w:t>“</w:t>
      </w:r>
      <w:r>
        <w:rPr>
          <w:rFonts w:ascii="Times New Roman;serif" w:hAnsi="Times New Roman;serif"/>
          <w:b w:val="false"/>
          <w:i/>
          <w:color w:val="000000"/>
          <w:sz w:val="20"/>
        </w:rPr>
        <w:t>Agreements with Tay Therapeutics—Evaluation and Option Agreement”</w:t>
      </w:r>
      <w:r>
        <w:rPr>
          <w:color w:val="000000"/>
        </w:rPr>
        <w:t xml:space="preserve"> </w:t>
      </w:r>
      <w:r>
        <w:rPr>
          <w:rFonts w:ascii="Times New Roman;serif" w:hAnsi="Times New Roman;serif"/>
          <w:b w:val="false"/>
          <w:color w:val="000000"/>
          <w:sz w:val="20"/>
        </w:rPr>
        <w:t>to the condensed consolidated financial statements included in Part I, Item 1 of the Company’s Quarterly Report on Form 10-Q for the quarterly period ended March 31, 2026 (the “Q1 Form 10-Q”), filed with the SEC on May 15, 2026, which description is incorporated herein by reference.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License for Locally Administered Pan-BD BET Inhibitor Program (Repibresib)</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August 6, 2021, the Company exercised its option with respect to the repibresib program and, on August 9, 2021, the parties entered into a License Agreement (the “Repibresib License Agreement”) granting the Company a worldwide, exclusive license that is sublicensable through multiple tiers to exploit certain of Tay’s pan-BD BET inhibitor compounds in all fields. For a description of the Repibresib License Agreement, see Note 3, </w:t>
      </w:r>
      <w:r>
        <w:rPr>
          <w:color w:val="000000"/>
        </w:rPr>
        <w:t>“</w:t>
      </w:r>
      <w:r>
        <w:rPr>
          <w:rFonts w:ascii="Times New Roman;serif" w:hAnsi="Times New Roman;serif"/>
          <w:b w:val="false"/>
          <w:i/>
          <w:color w:val="000000"/>
          <w:sz w:val="20"/>
        </w:rPr>
        <w:t>Agreements with Tay Therapeutics—License for Locally Administered Pan-BD BET Inhibitor Program (Repibresib)”</w:t>
      </w:r>
      <w:r>
        <w:rPr>
          <w:color w:val="000000"/>
        </w:rPr>
        <w:t xml:space="preserve"> </w:t>
      </w:r>
      <w:r>
        <w:rPr>
          <w:rFonts w:ascii="Times New Roman;serif" w:hAnsi="Times New Roman;serif"/>
          <w:b w:val="false"/>
          <w:color w:val="000000"/>
          <w:sz w:val="20"/>
        </w:rPr>
        <w:t>to the condensed consolidated financial statements included in Part I, Item 1 of the Company’s Q1 Form 10-Q, which description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License for Selective BET Inhibitor Program (VYN202)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April 28, 2023, the Company exercised the Oral Option and entered into a license agreement (the "VYN202 License Agreement") with Tay granting the Company a worldwide, exclusive license that is sublicensable through multiple tiers to exploit certain of Tay’s Oral BETi Compounds in all fields. For a description of the VYN202 License Agreement, see Note 3, </w:t>
      </w:r>
      <w:r>
        <w:rPr>
          <w:color w:val="000000"/>
        </w:rPr>
        <w:t>“</w:t>
      </w:r>
      <w:r>
        <w:rPr>
          <w:rFonts w:ascii="Times New Roman;serif" w:hAnsi="Times New Roman;serif"/>
          <w:b w:val="false"/>
          <w:i/>
          <w:color w:val="000000"/>
          <w:sz w:val="20"/>
        </w:rPr>
        <w:t>Agreements with Tay Therapeutics—License for Selective BET Inhibitor Program (VYN202)”</w:t>
      </w:r>
      <w:r>
        <w:rPr>
          <w:color w:val="000000"/>
        </w:rPr>
        <w:t xml:space="preserve"> </w:t>
      </w:r>
      <w:r>
        <w:rPr>
          <w:rFonts w:ascii="Times New Roman;serif" w:hAnsi="Times New Roman;serif"/>
          <w:b w:val="false"/>
          <w:color w:val="000000"/>
          <w:sz w:val="20"/>
        </w:rPr>
        <w:t>to the condensed consolidated financial statements included in Part I, Item 1 of the Company’s Q1 Form 10-Q, which description is incorporated herein by reference.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Sale of the MST Franchise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12, 2022, the Company entered into an Asset Purchase Agreement (the “Purchase Agreement”) with Journey pursuant to which the Company sold its MST Franchise to Journey. For a description of the Purchase Agreement, see Note 3, “Sale of the MST Franchise” to the condensed consolidated financial statements included in Part I, Item 1 of the Company’s Q1 Form 10-Q, which description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 DISCONTINUED OPERATIONS</w:t>
      </w:r>
    </w:p>
    <w:p>
      <w:pPr>
        <w:pStyle w:val="TextBody"/>
        <w:bidi w:val="0"/>
        <w:spacing w:lineRule="auto" w:line="288" w:before="240" w:after="283"/>
        <w:jc w:val="both"/>
        <w:rPr/>
      </w:pPr>
      <w:r>
        <w:rPr>
          <w:rFonts w:ascii="Times New Roman;serif" w:hAnsi="Times New Roman;serif"/>
          <w:b w:val="false"/>
          <w:color w:val="000000"/>
          <w:sz w:val="20"/>
        </w:rPr>
        <w:t xml:space="preserve">The Company determined that the sale of the MST Franchise represented a strategic shift that had a major effect on the business and therefore the MST Franchise met the criteria for classification as discontinued operations. Accordingly, the MST Franchise is reported as discontinued operations in accordance with ASC 205-20, </w:t>
      </w:r>
      <w:r>
        <w:rPr>
          <w:rFonts w:ascii="Times New Roman;serif" w:hAnsi="Times New Roman;serif"/>
          <w:b w:val="false"/>
          <w:i/>
          <w:color w:val="000000"/>
          <w:sz w:val="20"/>
        </w:rPr>
        <w:t xml:space="preserve">Discontinued Operations </w:t>
      </w:r>
      <w:r>
        <w:rPr>
          <w:rFonts w:ascii="Times New Roman;serif" w:hAnsi="Times New Roman;serif"/>
          <w:b w:val="false"/>
          <w:color w:val="000000"/>
          <w:sz w:val="20"/>
        </w:rPr>
        <w:t>("ASC 205-20"). In accordance with ASC 205-20, only expenses specifically identifiable and related to a business to be disposed may be presented in discontinued operations. Historically, research and development, marketing, and general and administrative expenses in discontinued operations included corporate costs incurred directly to solely support the MST Franchise.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11, 2026, LEO Pharma notified the Company of its decision to terminate the Finacea license agreement effective December 31, 2026. As a result, the Company does not expect to recognize Finacea royalty revenue for periods after December 31, 2026. During both the three and six months ended June 30, 2026, the Company recognized a $0.1 million loss from discontinued operations, net of income taxes, related to an uncollected receivable from transition service agreements. For the three and six months ended June 30, 2025, the loss from discontinued operations, net of income taxes was $8 thousand and $16 thousand, respectively, and consisted solely of general and administrative expenses.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there were $0.1 million of non-cash transactions related to uncollectible receivable. There were no non-cash items related to discontinued operations for the six months ended June 30, 2025.</w:t>
      </w:r>
    </w:p>
    <w:p>
      <w:pPr>
        <w:pStyle w:val="TextBody"/>
        <w:bidi w:val="0"/>
        <w:spacing w:lineRule="auto" w:line="288" w:before="240" w:after="283"/>
        <w:jc w:val="both"/>
        <w:rPr/>
      </w:pPr>
      <w:r>
        <w:rPr>
          <w:rFonts w:ascii="Times New Roman;serif" w:hAnsi="Times New Roman;serif"/>
          <w:b w:val="false"/>
          <w:color w:val="000000"/>
          <w:sz w:val="20"/>
        </w:rPr>
        <w:t xml:space="preserve">The milestone payments for sales of ZILXI, AMZEEQ and FCD105 represent contingent consideration. Contingent consideration has been accounted for as a gain contingency in accordance with ASC 450, </w:t>
      </w:r>
      <w:r>
        <w:rPr>
          <w:rFonts w:ascii="Times New Roman;serif" w:hAnsi="Times New Roman;serif"/>
          <w:b w:val="false"/>
          <w:i/>
          <w:color w:val="000000"/>
          <w:sz w:val="20"/>
        </w:rPr>
        <w:t>Contingencies</w:t>
      </w:r>
      <w:r>
        <w:rPr>
          <w:rFonts w:ascii="Times New Roman;serif" w:hAnsi="Times New Roman;serif"/>
          <w:b w:val="false"/>
          <w:color w:val="000000"/>
          <w:sz w:val="20"/>
        </w:rPr>
        <w:t>, and will be recognized in earnings in the period when realizable.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5 – 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that are measured at fair value as of June 30, 2026 and December 31, 2025 are classified in the tables below in one of the three categories described in “Fair value measurement (k)” in "Note 2 - Significant Accounting Policies” above:</w:t>
      </w:r>
    </w:p>
    <w:tbl>
      <w:tblPr>
        <w:tblW w:w="6840" w:type="dxa"/>
        <w:jc w:val="left"/>
        <w:tblInd w:w="0" w:type="dxa"/>
        <w:tblLayout w:type="fixed"/>
        <w:tblCellMar>
          <w:top w:w="28" w:type="dxa"/>
          <w:left w:w="28" w:type="dxa"/>
          <w:bottom w:w="28" w:type="dxa"/>
          <w:right w:w="28" w:type="dxa"/>
        </w:tblCellMar>
      </w:tblPr>
      <w:tblGrid>
        <w:gridCol w:w="820"/>
        <w:gridCol w:w="721"/>
        <w:gridCol w:w="7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tbl>
      <w:tblPr>
        <w:tblW w:w="7042" w:type="dxa"/>
        <w:jc w:val="left"/>
        <w:tblInd w:w="0" w:type="dxa"/>
        <w:tblLayout w:type="fixed"/>
        <w:tblCellMar>
          <w:top w:w="28" w:type="dxa"/>
          <w:left w:w="28" w:type="dxa"/>
          <w:bottom w:w="28" w:type="dxa"/>
          <w:right w:w="28" w:type="dxa"/>
        </w:tblCellMar>
      </w:tblPr>
      <w:tblGrid>
        <w:gridCol w:w="820"/>
        <w:gridCol w:w="721"/>
        <w:gridCol w:w="723"/>
        <w:gridCol w:w="211"/>
        <w:gridCol w:w="721"/>
        <w:gridCol w:w="109"/>
        <w:gridCol w:w="109"/>
        <w:gridCol w:w="109"/>
        <w:gridCol w:w="109"/>
        <w:gridCol w:w="211"/>
        <w:gridCol w:w="616"/>
        <w:gridCol w:w="109"/>
        <w:gridCol w:w="109"/>
        <w:gridCol w:w="109"/>
        <w:gridCol w:w="109"/>
        <w:gridCol w:w="213"/>
        <w:gridCol w:w="411"/>
        <w:gridCol w:w="110"/>
        <w:gridCol w:w="109"/>
        <w:gridCol w:w="109"/>
        <w:gridCol w:w="109"/>
        <w:gridCol w:w="211"/>
        <w:gridCol w:w="721"/>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Other financial instruments consist of other receivables, trade payables and accrued expenses. The fair value of these financial instruments approximates their carrying values due to their short-term nature. </w:t>
      </w:r>
      <w:r>
        <w:rPr>
          <w:rFonts w:ascii="Times New Roman;serif" w:hAnsi="Times New Roman;serif"/>
          <w:b w:val="false"/>
          <w:color w:val="000000"/>
          <w:sz w:val="20"/>
          <w:shd w:fill="FFFFFF" w:val="clear"/>
        </w:rPr>
        <w:t xml:space="preserve">In determining the fair value of its Level 2 investments, the Company relied on quoted prices for identical securities in markets that are not active. These quoted prices were obtained by the Company with the assistance of a third-party pricing service based on available trade, bid and other observable market data for identical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6 – MARKETABLE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no marketable securities. As of December 31, 2025, marketable securities consisted of U.S. Government and agency debt securities as well as U.S. Treasury bills.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marketable securities:</w:t>
      </w:r>
    </w:p>
    <w:tbl>
      <w:tblPr>
        <w:tblW w:w="5475" w:type="dxa"/>
        <w:jc w:val="left"/>
        <w:tblInd w:w="0" w:type="dxa"/>
        <w:tblLayout w:type="fixed"/>
        <w:tblCellMar>
          <w:top w:w="28" w:type="dxa"/>
          <w:left w:w="28" w:type="dxa"/>
          <w:bottom w:w="28" w:type="dxa"/>
          <w:right w:w="28" w:type="dxa"/>
        </w:tblCellMar>
      </w:tblPr>
      <w:tblGrid>
        <w:gridCol w:w="1336"/>
        <w:gridCol w:w="1175"/>
        <w:gridCol w:w="1178"/>
        <w:gridCol w:w="109"/>
        <w:gridCol w:w="109"/>
        <w:gridCol w:w="109"/>
        <w:gridCol w:w="109"/>
        <w:gridCol w:w="290"/>
        <w:gridCol w:w="847"/>
        <w:gridCol w:w="213"/>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amortized cost, gross unrealized gains, gross unrealized losses and fair value were as follows: </w:t>
      </w:r>
    </w:p>
    <w:tbl>
      <w:tblPr>
        <w:tblW w:w="10205" w:type="dxa"/>
        <w:jc w:val="left"/>
        <w:tblInd w:w="0" w:type="dxa"/>
        <w:tblLayout w:type="fixed"/>
        <w:tblCellMar>
          <w:top w:w="28" w:type="dxa"/>
          <w:left w:w="28" w:type="dxa"/>
          <w:bottom w:w="28" w:type="dxa"/>
          <w:right w:w="28" w:type="dxa"/>
        </w:tblCellMar>
      </w:tblPr>
      <w:tblGrid>
        <w:gridCol w:w="1226"/>
        <w:gridCol w:w="1071"/>
        <w:gridCol w:w="1067"/>
        <w:gridCol w:w="226"/>
        <w:gridCol w:w="662"/>
        <w:gridCol w:w="118"/>
        <w:gridCol w:w="109"/>
        <w:gridCol w:w="109"/>
        <w:gridCol w:w="109"/>
        <w:gridCol w:w="555"/>
        <w:gridCol w:w="1069"/>
        <w:gridCol w:w="287"/>
        <w:gridCol w:w="109"/>
        <w:gridCol w:w="109"/>
        <w:gridCol w:w="109"/>
        <w:gridCol w:w="548"/>
        <w:gridCol w:w="1054"/>
        <w:gridCol w:w="283"/>
        <w:gridCol w:w="109"/>
        <w:gridCol w:w="109"/>
        <w:gridCol w:w="109"/>
        <w:gridCol w:w="226"/>
        <w:gridCol w:w="662"/>
        <w:gridCol w:w="170"/>
      </w:tblGrid>
      <w:tr>
        <w:trPr/>
        <w:tc>
          <w:tcPr>
            <w:tcW w:w="12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debt securities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$5.0 million of marketable securities, which were in an unrealized gain position. The Company determined that unrealized gains and losses on marketable securities were primarily due to interest rate changes. No allowance for credit losses related to any of these marketable securities was recorded for the period ended December 31, 2025. All maturities are less than 12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PROPERTY AND EQUIPMENT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sets forth the Company's property and equipment, net as of </w:t>
      </w:r>
      <w:r>
        <w:rPr>
          <w:rFonts w:ascii="Times New Roman;serif" w:hAnsi="Times New Roman;serif"/>
          <w:b w:val="false"/>
          <w:color w:val="000000"/>
          <w:sz w:val="20"/>
        </w:rPr>
        <w:t>June 30, 2026 and December 31, 2025:</w:t>
      </w:r>
    </w:p>
    <w:tbl>
      <w:tblPr>
        <w:tblW w:w="5170" w:type="dxa"/>
        <w:jc w:val="left"/>
        <w:tblInd w:w="0" w:type="dxa"/>
        <w:tblLayout w:type="fixed"/>
        <w:tblCellMar>
          <w:top w:w="28" w:type="dxa"/>
          <w:left w:w="28" w:type="dxa"/>
          <w:bottom w:w="28" w:type="dxa"/>
          <w:right w:w="28" w:type="dxa"/>
        </w:tblCellMar>
      </w:tblPr>
      <w:tblGrid>
        <w:gridCol w:w="989"/>
        <w:gridCol w:w="869"/>
        <w:gridCol w:w="871"/>
        <w:gridCol w:w="217"/>
        <w:gridCol w:w="480"/>
        <w:gridCol w:w="112"/>
        <w:gridCol w:w="109"/>
        <w:gridCol w:w="109"/>
        <w:gridCol w:w="109"/>
        <w:gridCol w:w="331"/>
        <w:gridCol w:w="732"/>
        <w:gridCol w:w="242"/>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w:t>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00"/>
        <w:jc w:val="both"/>
        <w:rPr>
          <w:rFonts w:ascii="Times New Roman;serif" w:hAnsi="Times New Roman;serif"/>
          <w:b w:val="false"/>
          <w:color w:val="000000"/>
          <w:sz w:val="20"/>
        </w:rPr>
      </w:pPr>
      <w:r>
        <w:rPr>
          <w:rFonts w:ascii="Times New Roman;serif" w:hAnsi="Times New Roman;serif"/>
          <w:b w:val="false"/>
          <w:color w:val="000000"/>
          <w:sz w:val="20"/>
        </w:rPr>
        <w:t>Depreciation expense totaled $6 thousand and $12 thousand for both the three and six months ended June 30, 2026 and 2025, respectively, which is included within general and administrative expenses on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140" w:after="283"/>
        <w:jc w:val="both"/>
        <w:rPr>
          <w:rFonts w:ascii="Times New Roman;serif" w:hAnsi="Times New Roman;serif"/>
          <w:b/>
          <w:color w:val="000000"/>
          <w:sz w:val="20"/>
        </w:rPr>
      </w:pPr>
      <w:r>
        <w:rPr>
          <w:rFonts w:ascii="Times New Roman;serif" w:hAnsi="Times New Roman;serif"/>
          <w:b/>
          <w:color w:val="000000"/>
          <w:sz w:val="20"/>
        </w:rPr>
        <w:t>NOTE 8 – STOCKHOLDERS' EQUITY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Amended and Restated Certificate of Incorporation (as amended, the "Certificate of Incorporation") authorized the Company to issue 20,000,000 shares of preferred stock, par value $0.0001 per share. There were no shares of preferred stock issued and outstanding as of June 30, 2026 and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Shares of preferred stock may be issued from time to time in one or more series. The voting powers (if any), preferences and relative, participating, optional or other special rights, and the qualifications, limitations and restrictions of any series of preferred stock will be set forth in a Certificate of Designation filed pursuant to the Delaware General Corporation Law, as determined by the Board of Directors.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Common stock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Pursuant to the Certificate of Incorporation, as of June 30, 2026, the Company was authorized to issue 150,000,000 shares of common stock, par value $0.0001 per share. On July 27, 2026, the Company amended its Certificate of Incorporation to increase the number of authorized shares of common stock to 300,000,000. Each share of common stock is entitled to one vote. The holders of common stock are also entitled to receive dividends whenever funds are legally available and when and if declared by the Board of Directors, subject to the prior rights of holders of all classes of preferred stock outstanding. As of June 30, 2026, the Company had never declared any dividends on common stock. On July 23, 2026, the Company paid the special cash dividend. See Note 12, </w:t>
      </w:r>
      <w:r>
        <w:rPr>
          <w:color w:val="000000"/>
        </w:rPr>
        <w:t>“</w:t>
      </w:r>
      <w:r>
        <w:rPr>
          <w:rFonts w:ascii="Times New Roman;serif" w:hAnsi="Times New Roman;serif"/>
          <w:b w:val="false"/>
          <w:i/>
          <w:color w:val="000000"/>
          <w:sz w:val="20"/>
        </w:rPr>
        <w:t>Subsequent Events - Special Cash Dividend.”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16, 2026, the Board of Directors approved, and on July 24, 2026 the Company effected, a 1-for-50 reverse stock split of its outstanding shares of common stock. The reverse stock split was intended to support the Merger and to facilitate compliance with Nasdaq's initial listing requirements, including the minimum bid price requirement. No fractional shares were issued in connection with the reverse stock split. In lieu of fractional shares, stockholders who would otherwise have been entitled to receive a fractional share received cash payments. The par value of the Company's common stock remained unchanged as a result of the reverse stock split. Proportionate adjustments were made to the exercise prices and number of shares underlying the Company's outstanding stock options, restricted stock units, warrants and other equity awards, as well as the number of shares available for issuance under the Company's equity incentive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share and per share amounts presented in these condensed consolidated financial statements have been retroactively adjusted to reflect the reverse stock split for all periods presented.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Issuances of common stock and warrants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At-the-Market Equity Offering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 2024, the Company entered into a sales agreement (the “Cowen Sales Agreement”) with Cowen and Company, LLC as sales agent (“Cowen”) under which the Company may offer and sell, from time to time at its sole discretion, shares of the Company's common stock through Cowen in an at-the-market offering having an aggregate offering price up to $50.0 million. Cowen is entitled to compensation for its services equal to 3.0% of the gross proceeds of any shares of common stock sold under the Cowen Sales Agreement. The Company did not sell any shares of common stock under the Cowen Sales Agreement during the six months ended June 30, 2026 and 2025.</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Pre-Funded Warrants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October 2023, the Company entered into a security purchase agreement, pursuant to which the Company agreed to sell and issue to the purchasers in a private placement shares of the Company’s common stock and Pre-Funded Warrants (the "Private Placement"). The Pre-Funded Warr</w:t>
      </w:r>
      <w:r>
        <w:rPr>
          <w:rFonts w:ascii="Times New Roman;serif" w:hAnsi="Times New Roman;serif"/>
          <w:b w:val="false"/>
          <w:color w:val="000000"/>
          <w:sz w:val="20"/>
          <w:shd w:fill="FFFFFF" w:val="clear"/>
        </w:rPr>
        <w:t xml:space="preserve">ants issued in the Private Placement will not expire until exercised in full. The Pre-Funded Warrants 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60 days’ notice to the Company, but not to exceed any </w:t>
      </w:r>
      <w:r>
        <w:rPr>
          <w:rFonts w:ascii="Times New Roman;serif" w:hAnsi="Times New Roman;serif"/>
          <w:b w:val="false"/>
          <w:color w:val="000000"/>
          <w:sz w:val="20"/>
        </w:rPr>
        <w:t xml:space="preserve">percentage in excess of 19.99%.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365,942 Pre-Funded Warrants were exercised pursuant to a net exercise mechanism. During the six months ended June 30, 2026, no Pre-Funded Warrants were exercised pursuant to a net exercise mechanism. As of June 30, 2026, 190,911 Pre-Funded Warrants remained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Warrants</w:t>
      </w:r>
    </w:p>
    <w:p>
      <w:pPr>
        <w:pStyle w:val="TextBody"/>
        <w:bidi w:val="0"/>
        <w:spacing w:lineRule="auto" w:line="288" w:before="200" w:after="283"/>
        <w:jc w:val="both"/>
        <w:rPr/>
      </w:pPr>
      <w:r>
        <w:rPr>
          <w:rFonts w:ascii="Times New Roman;serif" w:hAnsi="Times New Roman;serif"/>
          <w:b w:val="false"/>
          <w:color w:val="000000"/>
          <w:sz w:val="20"/>
        </w:rPr>
        <w:t xml:space="preserve">As of June 30, 2026 and December 31, 2025, the Company had warrants to purchase an aggregate of 550 shares of the Company’s common stock outstanding, with an exercise price of $420.00, and an expiration date of July 29, 2026. For details of the expiration, see Note 12, </w:t>
      </w:r>
      <w:r>
        <w:rPr>
          <w:color w:val="000000"/>
        </w:rPr>
        <w:t>“</w:t>
      </w:r>
      <w:r>
        <w:rPr>
          <w:rFonts w:ascii="Times New Roman;serif" w:hAnsi="Times New Roman;serif"/>
          <w:b w:val="false"/>
          <w:i/>
          <w:color w:val="000000"/>
          <w:sz w:val="20"/>
        </w:rPr>
        <w:t>Subsequent Events -Termination of Warrants.”</w:t>
      </w:r>
      <w:r>
        <w:rPr>
          <w:color w:val="000000"/>
        </w:rPr>
        <w:t xml:space="preserve"> </w:t>
      </w:r>
      <w:r>
        <w:rPr>
          <w:rFonts w:ascii="Times New Roman;serif" w:hAnsi="Times New Roman;serif"/>
          <w:b w:val="false"/>
          <w:color w:val="000000"/>
          <w:sz w:val="20"/>
        </w:rPr>
        <w:t>These warrants were issued by Foamix Pharmaceuticals Ltd. in connection with a financing in July 2019 and were subsequently assumed by the Company in connection with the merger with Foamix Pharmaceuticals Ltd. Pursuant to the warrant certificate, the exercise price of the warrant will be proportionally adjusted in the event that the Company issues common stock at a price per share less than the exercise price (the "Down Round Feature"). In the event that the Down Round Feature is triggered, the Company must calculate the difference between the warrants’ fair value, using the Black-Scholes-Merton option-pricing model, before and after the Down Round Feature was triggered using the original exercise price and the new exercise price. The exercise price will continue to be adjusted in the event the Company issues additional shares of common stock below the then-current exercise price, in accordance with the terms of the warrants.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Pre-Funded Warrants and warrants are classified as a component of permanent equity because they are freestanding financial instruments that are legally detachable and separately exercisable from the shares of common stock with which they were issued, are immediately exercisable, do not embody an obligation for the Company to repurchase its shares, and permit the holders to receive a fixed number of shares of common stock upon exercise. In addition, the Pre-Funded Warrants and warrants do not provide any guarantee of value or return.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9 – SHARE-BASED COMPENSATION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2023 Equity Incentive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June 30, 2026, the Company maintained the 2023 Equity Incentive Plan (the "2023 Plan") and previously maintained the 2019 Equity Incentive Plan (the “2019 Plan”) and 2018 Omnibus Incentive Plan (the "2018 Plan"). </w:t>
      </w:r>
      <w:r>
        <w:rPr>
          <w:rFonts w:ascii="Times New Roman;serif" w:hAnsi="Times New Roman;serif"/>
          <w:b w:val="false"/>
          <w:color w:val="000000"/>
          <w:sz w:val="20"/>
          <w:shd w:fill="FFFFFF" w:val="clear"/>
        </w:rPr>
        <w:t>Following stockholder approval in December 2023</w:t>
      </w:r>
      <w:r>
        <w:rPr>
          <w:rFonts w:ascii="Times New Roman;serif" w:hAnsi="Times New Roman;serif"/>
          <w:b w:val="false"/>
          <w:color w:val="000000"/>
          <w:sz w:val="20"/>
        </w:rPr>
        <w:t xml:space="preserve">, any shares then available for future grant under the 2019 Plan and 2018 Plan were allocated to the 2023 Plan and no further grants could be made under the 2018 Plan and the 2019 Plan. In December 2024, stockholders approved a proposal to amend the 2023 Plan to increase shares available for grant under the 2023 Plan by </w:t>
      </w:r>
      <w:r>
        <w:rPr>
          <w:rFonts w:ascii="Times New Roman;serif" w:hAnsi="Times New Roman;serif"/>
          <w:b w:val="false"/>
          <w:color w:val="000000"/>
          <w:sz w:val="20"/>
          <w:shd w:fill="FFFFFF" w:val="clear"/>
        </w:rPr>
        <w:t>30,400</w:t>
      </w:r>
      <w:r>
        <w:rPr>
          <w:color w:val="000000"/>
        </w:rPr>
        <w:t xml:space="preserve"> </w:t>
      </w:r>
      <w:r>
        <w:rPr>
          <w:rFonts w:ascii="Times New Roman;serif" w:hAnsi="Times New Roman;serif"/>
          <w:b w:val="false"/>
          <w:color w:val="000000"/>
          <w:sz w:val="20"/>
        </w:rPr>
        <w:t xml:space="preserve">shares. As of June 30, 2026, </w:t>
      </w:r>
      <w:r>
        <w:rPr>
          <w:rFonts w:ascii="Times New Roman;serif" w:hAnsi="Times New Roman;serif"/>
          <w:b w:val="false"/>
          <w:color w:val="000000"/>
          <w:sz w:val="20"/>
          <w:shd w:fill="FFFFFF" w:val="clear"/>
        </w:rPr>
        <w:t>6,352</w:t>
      </w:r>
      <w:r>
        <w:rPr>
          <w:color w:val="000000"/>
        </w:rPr>
        <w:t xml:space="preserve"> </w:t>
      </w:r>
      <w:r>
        <w:rPr>
          <w:rFonts w:ascii="Times New Roman;serif" w:hAnsi="Times New Roman;serif"/>
          <w:b w:val="false"/>
          <w:color w:val="000000"/>
          <w:sz w:val="20"/>
        </w:rPr>
        <w:t>shares remained issuable under the 2023 Plan. Following the Merger and the adoption of the 2026 Plan, as further described in Note 12, “Subsequent Events,” no further awards may be granted under the 2023 Plan.</w:t>
      </w:r>
    </w:p>
    <w:p>
      <w:pPr>
        <w:pStyle w:val="TextBody"/>
        <w:bidi w:val="0"/>
        <w:spacing w:lineRule="auto" w:line="288" w:before="240" w:after="283"/>
        <w:jc w:val="both"/>
        <w:rPr/>
      </w:pPr>
      <w:r>
        <w:rPr>
          <w:rFonts w:ascii="Times New Roman;serif" w:hAnsi="Times New Roman;serif"/>
          <w:b/>
          <w:i/>
          <w:color w:val="000000"/>
          <w:sz w:val="20"/>
        </w:rPr>
        <w:t>2024 Induce</w:t>
      </w:r>
      <w:r>
        <w:rPr>
          <w:rFonts w:ascii="Times New Roman;serif" w:hAnsi="Times New Roman;serif"/>
          <w:b/>
          <w:i/>
          <w:color w:val="000000"/>
          <w:sz w:val="20"/>
          <w:shd w:fill="FFFFFF" w:val="clear"/>
        </w:rPr>
        <w:t>ment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February 28, 2024, the Board of Directors approved the Company's 2024 Inducement Plan (the "Inducement Plan"). Pursuant to the Inducement Plan and Nasdaq Listing Rule 5635(c)(4), a</w:t>
      </w:r>
      <w:r>
        <w:rPr>
          <w:rFonts w:ascii="Times New Roman;serif" w:hAnsi="Times New Roman;serif"/>
          <w:b w:val="false"/>
          <w:color w:val="000000"/>
          <w:sz w:val="20"/>
        </w:rPr>
        <w:t xml:space="preserve">s of June 30, 2026 </w:t>
      </w:r>
      <w:r>
        <w:rPr>
          <w:rFonts w:ascii="Times New Roman;serif" w:hAnsi="Times New Roman;serif"/>
          <w:b w:val="false"/>
          <w:color w:val="000000"/>
          <w:sz w:val="20"/>
          <w:shd w:fill="FFFFFF" w:val="clear"/>
        </w:rPr>
        <w:t xml:space="preserve">the Company is permitted to grant equity awards as an inducement material to an individual's entering into employment with the Company, subject to certain conditions ("Inducement Grants"). In November 2024, the Board of Directors reduced the number of shares available to be issued under the Inducement Plan to one share. In the </w:t>
      </w:r>
      <w:r>
        <w:rPr>
          <w:rFonts w:ascii="Times New Roman;serif" w:hAnsi="Times New Roman;serif"/>
          <w:b w:val="false"/>
          <w:color w:val="000000"/>
          <w:sz w:val="20"/>
        </w:rPr>
        <w:t xml:space="preserve">second quarter of 2025 and the first half of 2026, </w:t>
      </w:r>
      <w:r>
        <w:rPr>
          <w:rFonts w:ascii="Times New Roman;serif" w:hAnsi="Times New Roman;serif"/>
          <w:b w:val="false"/>
          <w:color w:val="000000"/>
          <w:sz w:val="20"/>
          <w:shd w:fill="FFFFFF" w:val="clear"/>
        </w:rPr>
        <w:t xml:space="preserve">2,225 and </w:t>
      </w:r>
      <w:r>
        <w:rPr>
          <w:rFonts w:ascii="Times New Roman;serif" w:hAnsi="Times New Roman;serif"/>
          <w:b w:val="false"/>
          <w:color w:val="000000"/>
          <w:sz w:val="20"/>
        </w:rPr>
        <w:t xml:space="preserve">263 </w:t>
      </w:r>
      <w:r>
        <w:rPr>
          <w:rFonts w:ascii="Times New Roman;serif" w:hAnsi="Times New Roman;serif"/>
          <w:b w:val="false"/>
          <w:color w:val="000000"/>
          <w:sz w:val="20"/>
          <w:shd w:fill="FFFFFF" w:val="clear"/>
        </w:rPr>
        <w:t xml:space="preserve">shares, respectively, were returned to the Inducement Plan as a result of forfeited equity awards. As of </w:t>
      </w:r>
      <w:r>
        <w:rPr>
          <w:rFonts w:ascii="Times New Roman;serif" w:hAnsi="Times New Roman;serif"/>
          <w:b w:val="false"/>
          <w:color w:val="000000"/>
          <w:sz w:val="20"/>
        </w:rPr>
        <w:t xml:space="preserve">June 30, 2026, </w:t>
      </w:r>
      <w:r>
        <w:rPr>
          <w:rFonts w:ascii="Times New Roman;serif" w:hAnsi="Times New Roman;serif"/>
          <w:b w:val="false"/>
          <w:color w:val="000000"/>
          <w:sz w:val="20"/>
          <w:shd w:fill="FFFFFF" w:val="clear"/>
        </w:rPr>
        <w:t>2,488</w:t>
      </w:r>
      <w:r>
        <w:rPr>
          <w:color w:val="000000"/>
        </w:rPr>
        <w:t xml:space="preserve"> </w:t>
      </w:r>
      <w:r>
        <w:rPr>
          <w:rFonts w:ascii="Times New Roman;serif" w:hAnsi="Times New Roman;serif"/>
          <w:b w:val="false"/>
          <w:color w:val="000000"/>
          <w:sz w:val="20"/>
        </w:rPr>
        <w:t>shares were ava</w:t>
      </w:r>
      <w:r>
        <w:rPr>
          <w:rFonts w:ascii="Times New Roman;serif" w:hAnsi="Times New Roman;serif"/>
          <w:b w:val="false"/>
          <w:color w:val="000000"/>
          <w:sz w:val="20"/>
          <w:shd w:fill="FFFFFF" w:val="clear"/>
        </w:rPr>
        <w:t>ilable for future Inducement Gra</w:t>
      </w:r>
      <w:r>
        <w:rPr>
          <w:rFonts w:ascii="Times New Roman;serif" w:hAnsi="Times New Roman;serif"/>
          <w:b w:val="false"/>
          <w:color w:val="000000"/>
          <w:sz w:val="20"/>
        </w:rPr>
        <w:t>nts. Following the Merger and the adoption of the 2026 Plan, as further described in Note 12, “Subsequent Events,” no further awards may be granted under the Inducement Plan.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2019 Employee Share Purchase Plan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Company has adopted the 2019 Employee Share Purchase Plan (the "ESPP") pursuant to which qualified employees (as defined in the ESPP) may elect to purchase designated shares of the Company’s common stock at a price equal to</w:t>
      </w:r>
      <w:r>
        <w:rPr>
          <w:color w:val="000000"/>
        </w:rPr>
        <w:t> </w:t>
      </w:r>
      <w:r>
        <w:rPr>
          <w:rFonts w:ascii="Times New Roman;serif" w:hAnsi="Times New Roman;serif"/>
          <w:b w:val="false"/>
          <w:color w:val="000000"/>
          <w:sz w:val="20"/>
        </w:rPr>
        <w:t>85% </w:t>
      </w:r>
      <w:r>
        <w:rPr>
          <w:rFonts w:ascii="Times New Roman;serif" w:hAnsi="Times New Roman;serif"/>
          <w:b w:val="false"/>
          <w:color w:val="000000"/>
          <w:sz w:val="20"/>
          <w:shd w:fill="FFFFFF" w:val="clear"/>
        </w:rPr>
        <w:t xml:space="preserve">of the lesser of the fair market value of the common stock at the beginning or end of each semi-annual share purchase period (“Purchase Period”). </w:t>
      </w:r>
      <w:r>
        <w:rPr>
          <w:rFonts w:ascii="Times New Roman;serif" w:hAnsi="Times New Roman;serif"/>
          <w:b w:val="false"/>
          <w:color w:val="000000"/>
          <w:sz w:val="20"/>
        </w:rPr>
        <w:t>As of June 30, 2026, em</w:t>
      </w:r>
      <w:r>
        <w:rPr>
          <w:rFonts w:ascii="Times New Roman;serif" w:hAnsi="Times New Roman;serif"/>
          <w:b w:val="false"/>
          <w:color w:val="000000"/>
          <w:sz w:val="20"/>
          <w:shd w:fill="FFFFFF" w:val="clear"/>
        </w:rPr>
        <w:t>ployees were permitted to purchase the number of shares purchasable with up to</w:t>
      </w:r>
      <w:r>
        <w:rPr>
          <w:color w:val="000000"/>
        </w:rPr>
        <w:t xml:space="preserve"> </w:t>
      </w:r>
      <w:r>
        <w:rPr>
          <w:rFonts w:ascii="Times New Roman;serif" w:hAnsi="Times New Roman;serif"/>
          <w:b w:val="false"/>
          <w:color w:val="000000"/>
          <w:sz w:val="20"/>
        </w:rPr>
        <w:t xml:space="preserve">15% </w:t>
      </w:r>
      <w:r>
        <w:rPr>
          <w:rFonts w:ascii="Times New Roman;serif" w:hAnsi="Times New Roman;serif"/>
          <w:b w:val="false"/>
          <w:color w:val="000000"/>
          <w:sz w:val="20"/>
          <w:shd w:fill="FFFFFF" w:val="clear"/>
        </w:rPr>
        <w:t xml:space="preserve">of the earnings paid (as such term is defined in the ESPP) to each of the participating employees during the Purchase Period, subject to certain limitations under Section 423 of the U.S. Internal Revenue Code. In May 2026, ahead of the anticipated Closing Date of the Merger, the Compensation Committee of the Board of Directors terminated all subsequent offerings under the ESPP.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604 shares remained available for grant under the ESPP. Subsequent to June 30, 2026 the ESPP was terminated in connection with the Merger and no shares remain available for grant.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644 and 324 shares were purchased by employees pursuant to the ESPP,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Options and RSUs granted to employees and directors: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no options or RSUs were granted to employees and directors. </w:t>
      </w:r>
    </w:p>
    <w:p>
      <w:pPr>
        <w:pStyle w:val="TextBody"/>
        <w:bidi w:val="0"/>
        <w:spacing w:lineRule="auto" w:line="288" w:before="20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Stock-based compensation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effect of stock-based compensation on the line items on the unaudited condensed consolidated statements of operations and comprehensive loss:</w:t>
      </w:r>
    </w:p>
    <w:tbl>
      <w:tblPr>
        <w:tblW w:w="7682" w:type="dxa"/>
        <w:jc w:val="left"/>
        <w:tblInd w:w="0" w:type="dxa"/>
        <w:tblLayout w:type="fixed"/>
        <w:tblCellMar>
          <w:top w:w="28" w:type="dxa"/>
          <w:left w:w="28" w:type="dxa"/>
          <w:bottom w:w="28" w:type="dxa"/>
          <w:right w:w="28" w:type="dxa"/>
        </w:tblCellMar>
      </w:tblPr>
      <w:tblGrid>
        <w:gridCol w:w="836"/>
        <w:gridCol w:w="736"/>
        <w:gridCol w:w="738"/>
        <w:gridCol w:w="291"/>
        <w:gridCol w:w="644"/>
        <w:gridCol w:w="150"/>
        <w:gridCol w:w="150"/>
        <w:gridCol w:w="150"/>
        <w:gridCol w:w="150"/>
        <w:gridCol w:w="291"/>
        <w:gridCol w:w="644"/>
        <w:gridCol w:w="150"/>
        <w:gridCol w:w="109"/>
        <w:gridCol w:w="109"/>
        <w:gridCol w:w="109"/>
        <w:gridCol w:w="244"/>
        <w:gridCol w:w="540"/>
        <w:gridCol w:w="126"/>
        <w:gridCol w:w="126"/>
        <w:gridCol w:w="126"/>
        <w:gridCol w:w="126"/>
        <w:gridCol w:w="244"/>
        <w:gridCol w:w="715"/>
        <w:gridCol w:w="1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10 –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Litigation and contingencies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may periodically become subject to legal proceedings and claims arising in connection with its business. As of June 30, 2026, there were no claims or actions pending against the Company that, in the opinion of management, are likely to have a material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11 -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VYNE operated in one operating segment, and therefore one reportable segment, focused on the development of differentiated therapies to treat chronic inflammatory and immune-mediated conditions of high unmet need. This determination, that the Company operated as a single operating segment, is consistent with the financial information regularly reviewed by the Company's Chief Operating Decision Maker (“CODM”) for purposes of evaluating performance, allocating resources, and planning and forecasting for future periods. The Company's Chief Executive Officer (“CEO”) was the CODM.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policies for the single operating segment are the same as those described in “Note 2—Significant Accounting Policies.” The CODM uses net loss based on net loss that is reported on the unaudited condensed consolidated statement of operations and comprehensive loss to allocate resources (including employees, property, and financial resources), predominantly during the annual budget and forecasting process. The Company’s CODM views specific program spend within research and development expenses as well as overall general and administrative expenses as significant segment expenses. As a pre-commercial product revenue company, the CODM also considers budget versus actual results for expenses that are deemed significant and cash forecast models for assessing performance and to decide the level of investment in the Company’s operating and capital allocation activities. Further, the measure of segment assets is reported on the unaudited condensed consolidated balance sheet as total consolidated assets. All long-lived assets are held in the United States. All revenues are generated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VYNE's segment revenue and significant expenses regularly reviewed by the CODM for the three and six months ended June 30, 2026 and 2025:</w:t>
      </w:r>
    </w:p>
    <w:p>
      <w:pPr>
        <w:pStyle w:val="TextBody"/>
        <w:bidi w:val="0"/>
        <w:spacing w:before="0" w:after="0"/>
        <w:jc w:val="left"/>
        <w:rPr/>
      </w:pPr>
      <w:r>
        <w:rPr/>
      </w:r>
    </w:p>
    <w:tbl>
      <w:tblPr>
        <w:tblW w:w="10035" w:type="dxa"/>
        <w:jc w:val="center"/>
        <w:tblInd w:w="0" w:type="dxa"/>
        <w:tblLayout w:type="fixed"/>
        <w:tblCellMar>
          <w:top w:w="28" w:type="dxa"/>
          <w:left w:w="28" w:type="dxa"/>
          <w:bottom w:w="28" w:type="dxa"/>
          <w:right w:w="28" w:type="dxa"/>
        </w:tblCellMar>
      </w:tblPr>
      <w:tblGrid>
        <w:gridCol w:w="1662"/>
        <w:gridCol w:w="1462"/>
        <w:gridCol w:w="1466"/>
        <w:gridCol w:w="235"/>
        <w:gridCol w:w="772"/>
        <w:gridCol w:w="121"/>
        <w:gridCol w:w="121"/>
        <w:gridCol w:w="121"/>
        <w:gridCol w:w="121"/>
        <w:gridCol w:w="235"/>
        <w:gridCol w:w="772"/>
        <w:gridCol w:w="121"/>
        <w:gridCol w:w="109"/>
        <w:gridCol w:w="109"/>
        <w:gridCol w:w="109"/>
        <w:gridCol w:w="211"/>
        <w:gridCol w:w="691"/>
        <w:gridCol w:w="109"/>
        <w:gridCol w:w="109"/>
        <w:gridCol w:w="109"/>
        <w:gridCol w:w="109"/>
        <w:gridCol w:w="211"/>
        <w:gridCol w:w="796"/>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Repibresib (VYN201)</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VYN202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segment items relate to research and development expenses that cannot be directly allocated to one specific product candidate, such as employee-related expenses, consulting, quality control, regulatory, and general IP legal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Accordingly, the Company managed its operations as a single operating and reportable segment, and the unaudited condensed consolidated financial statements and notes thereto are presented as a single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Merger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the Closing Date, VYNE consummated the acquisition of Yarrow in accordance with the terms of the Merger Agreement. Following the Merger, the current business of Yarrow became the primary business of the Combined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Special Cash Dividend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10, 2026, the Board of Directors declared a special cash dividend of $17.3 million to holders of record of VYNE common stock as of a record date of July 22, 2026, with a payment date of July 23, 2026. The ex-dividend date of the special cash dividend was determined by Nasdaq to be July 24,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Special Meeting of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16, 2026, the Company held the Special Meeting, and all of the proposals included in the proxy statement/prospectus were approved by VYNE stockholders, other than the proposal to adjourn the Special Meeting, which was not presented to the VYNE stockholders.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Reverse Stock Split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16, 2026, VYNE's Board of Directors approved, and on July 24, 2026 the Company effected, a 1-for-50 reverse stock split of its outstanding shares of common stock. The reverse stock split is intended to support the Merger and to facilitate compliance with Nasdaq's initial listing requirements, including the minimum bid price requirement. No fractional shares were issued in connection with the reverse stock split. In lieu of fractional shares, stockholders who would otherwise have been entitled to receive a fractional share received cash payments. The par value of the Company's common stock remained unchanged as a result of the reverse stock split. Proportionate adjustments were made to the exercise prices and number of shares underlying the Company's outstanding stock options, restricted stock units, warrants and other equity awards, as well as the number of shares available for issuance under the Company's equity incentive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share and per share amounts presented in these condensed consolidated financial statements have been retroactively adjusted to reflect the reverse stock split for all periods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Termination of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29, 2026, all 550 warrants outstanding with an amended exercise price of $20.22 originating from financing in July 2019 were terminated in accordance with the stated expiration date. Upon expiration of the warrants, the outstanding warrants were subject to an automatic conversion into shares of common stock. However, all holders of the warrants agreed to an immaterial cash payment in the place of shares.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Incentive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23, 2026, the Board of Directors approved the Yarrow Bioscience, Inc. 2026 Stock Incentive Plan (the “2026 Stock Plan”), subject to stockholder approval and the consummation of the Merger. On July 16, 2026, the Company’s stockholders approved the 2026 Stock Plan at the Special Meeting and on July 27, 2026, the Board of Directors ratified the 2026 Stock Plan. The purpose of the 2026 Stock Plan is to promote and closely align the interests of employees, officers, non-employee directors and other individual service providers of the Company and its stockholders by providing stock-based compensation and other performance-based compensation. The initial share pool under the 2026 Stock Plan is 2,688,931. The shares that may be issued under the 2026 Stock Plan will be automatically increased on January 1 of each year beginning in 2027 and ending with a final increase on January 1, 2036, in an amount equal to 5% of the diluted stock (including common stock, preferred stock and unexercised pre-funded warrants) on the preceding December 31, unless a lower (or no) increase is determined by the administrator of the 2026 Stock Plan. Only 100,000,000 shares of common stock may be issued under the 2026 Stock Plan as incentive stock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23, 2026, the Board of Directors approved the Yarrow Bioscience, Inc. 2026 Employee Stock Purchase Plan (the “2026 ESPP”), subject to stockholder approval and the consummation of the Merger. On July 16, 2026, VYNE’s stockholders approved the 2026 ESPP at the Special Meeting and on July 27, 2026, the Board of Directors ratified the 2026 ESPP. The purpose of the 2026 ESPP is to provide employees of the Company and its designated subsidiaries with an opportunity to purchase shares of common stock through accumulated contributions. The 2026 ESPP, and the rights of participants to make purchases thereunder, is intended to qualify under Section 423 of the Code. The initial share pool under the 2026 ESPP is 336,116. The shares that may be issued under the 2026 ESPP will be automatically increased on January 1 of each year beginning in 2027 and ending with a final increase on January 1, 2036 in an amount equal to the lesser of 1% of the diluted stock (including common stock, preferred stock and unexercised pre-funded warrants) on the preceding December 31 or 2,500,000, unless a lower (or no) increase is determined by the compensation committee of the Board of Directors, as administrator of the 2026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You should read the following discussion and analysis of our financial condition and results of operations in conjunction with the unaudited condensed consolidated financial statements and the notes thereto included elsewhere in this Quarterly Report on Form 10-Q for the period ended June 30, 2026 ("Quarterly Report") and our audited financial statements and notes thereto included in our Annual Report on Form 10-K for the year ended December 31, 2025 ("Annual Report"). As used in this Quarterly Report,</w:t>
      </w:r>
      <w:r>
        <w:rPr>
          <w:color w:val="000000"/>
        </w:rPr>
        <w:t xml:space="preserve"> </w:t>
      </w:r>
      <w:r>
        <w:rPr>
          <w:rFonts w:ascii="Times New Roman;serif" w:hAnsi="Times New Roman;serif"/>
          <w:b w:val="false"/>
          <w:i/>
          <w:color w:val="000000"/>
          <w:sz w:val="20"/>
        </w:rPr>
        <w:t>unless the context otherwise requires, all references to the “Company,” “we,” “us,” “our,” and similar references refer: (1) following the completion of the Merger (as defined below), to Yarrow Bioscience, Inc. (the “Combined Company” or “Yarrow”) and our subsidiaries and (2) prior to the completion of the Merger, to VYNE Therapeutics Inc. (“VYNE”) and its subsidiaries. The disclosure set forth in this section reflects our 1-for-50 reverse stock split, which was effected on July 24, 2026. Accordingly, all share amounts and per share amounts have been adjusted.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focused on developing transformative therapies to treat autoimmune thyroid diseases. Our lead product candidate, YB-101 (also known as GenSci098), is a humanized, monoclonal antibody targeting the thyroid-stimulating hormone receptor (“TSHR”), which we plan to develop for the treatment of Graves’ disease (“GD”) and thyroid eye disease (“TED”). Both GD and TED are serious and poorly treated autoimmune diseases in which autoantibodies against TSHR attack and overstimulate the receptor, leading to a wide spectrum of thyroidal and extra-thyroidal clinical sequelae.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We believe that this novel and targeted approach represents a potential breakthrough for patients with GD and TED and has the potential to address an important unmet need for therapies with differentiated risk-benefit profiles.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Merger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2025, VYNE’s board of directors (the “Board of Directors”) initiated a strategic review to evaluate a range of options to maximize stockholder value, including the assessment of its internal pipeline, financing opportunities and strategic alternatives. Following the strategic review described above, on December 17, 2025, we entered into the Merger Agreement with Yarrow, a privately held biotechnology company advancing YB-101 (also known as GenSci098), a clinical-stage, humanized monoclonal antibody targeting the thyroid-stimulating hormone receptor for the treatment of Graves’ disease and exploring a clinical development plan for thyroid eye disease, pursuant to which Yarrow became a wholly owned subsidiary of VYNE and VYNE operates under the name Yarrow Bioscience, Inc. following the merger (the “Merger”). In connection with the Merger, we filed a registration statement on Form S-4, most recently amended on June 3, 2026 and declared effective on June 15, 2026, and the related definitive proxy statement/prospectus was filed and first mailed to our stockholders on or about June 15, 2026. On July 16, 2026, we held a special meeting of stockholders (the “Special Meeting”), and all of the proposals included in the proxy statement/prospectus were approved by VYNE stockholders, other than the proposal to adjourn the Special Meeting, which was not presented to the VYNE stockholders. On July 27, 2026 (the “Closing Date”), we consummated the acquisition of Yarrow in accordance with the terms of the Merger Agreement. Following the Merger, the current business of Yarrow became our primary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Yarrow Series A Preferred Stock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certain institutional and accredited investors (the "Series A Investors", led by an affiliate of RTW Investments) and Yarrow entered into a Series A stock purchase agreement, pursuant to which such persons invested in and purchased an aggregate of 20,242,911 shares of Yarrow Series A preferred stock at a purchase price of $4.94 per share for aggregate gross proceeds to Yarrow of $100.0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Yarrow Pre-Closing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and delivery of the Merger Agreement, the Series A Investors also entered into a Securities Purchase Agreement with Yarrow (the "Securities Purchase Agreement"), pursuant to which such investors purchased, immediately prior to the Merger, 1,096,125 shares of Yarrow common stock and 13,068,176 Yarrow pre-funded warrants, for gross proceeds of approximately $100.0 million in the Yarrow Pre-Closing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of Yarrow common stock and Yarrow pre-funded warrants that were issued in the Yarrow Pre-Closing Financing were or have the right to be, respectively, converted into shares of VYNE common stock in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Securities Purchase Agreement contains customary representations and warranties of Yarrow and the purchaser parties thereto.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Pre-Closing Special Cash Dividend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Further, on July 10, 2026, the Board of Directors declared a special cash dividend of $17.3 millio</w:t>
      </w:r>
      <w:r>
        <w:rPr>
          <w:rFonts w:ascii="Times New Roman;serif" w:hAnsi="Times New Roman;serif"/>
          <w:b w:val="false"/>
          <w:color w:val="000000"/>
          <w:sz w:val="20"/>
        </w:rPr>
        <w:t>n as of a record date of July 22, 2026, with a payment date of July 23, 2026 (the “special cash dividend”). The ex-dividend date of the special cash dividend was determined by Nasdaq to be July 24, 2026. VYNE stockholders of record prior to the ex-dividend date were entitled to receive the special cash dividend, regardless of whether they beneficially owned such shares as of the dividend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Reverse Stock Split and Recasting of Per-Share Amounts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12, 2025, we received a notification from The Nasdaq Stock Market, LLC (“Nasdaq”) that we were not in compliance with the requirement to maintain a minimum closing bid price of $1.00 per share, as set forth in Nasdaq Listing Rule 5550(a)(2), because the closing bid price of our common stock was below $1.00 per share for 30 consecutive business days. We initially had 180 calendar days, or until March 10, 2026, to regain compliance with the minimum bid price requirement. On March 11, 2026, we received a letter (the “Extension Notice”) from Nasdaq notifying us that our request for an extension to regain compliance with the minimum bid price requirement has been granted, and we had an additional 180 calendar days, or until September 7, 2026, to regain compliance with the minimum bid price requirement. On July 16, 2026, the Board of Directors approved, and on July 24, 2026, we effected, a 1-for-50 reverse stock split of our outstanding shares of common stock. The reverse stock split was intended to support the Merger with Yarrow and to facilitate compliance with Nasdaq's initial listing requirements, including the minimum bid price requirement. On August 10, 2026, we received a letter from the Listing Qualifications Department of Nasdaq providing that we had regained compliance with the minimum bid price requirement and the Nasdaq considers this matter closed. No fractional shares were issued in connection with the reverse stock split. In lieu of fractional shares, stockholders who would otherwise have been entitled to receive a fractional share received cash payments. The par value of our common stock remained unchanged as a result of the reverse stock split. Proportionate adjustments were made to the exercise prices and number of shares underlying our outstanding stock options, restricted stock units, warrants and other equity awards, as well as the number of shares available for issuance under our equity incentive plans.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Certificate of Incorporation, we were previously authorized to issue 150,000,000 shares of common stock, par value $0.0001 per share. On July 27, 2026, we amended our Certificate of Incorporation to increase the number of authorized shares of common stock to 300,000,000. Each share of common stock is entitled to one vote. The holders of common stock are also entitled to receive dividends whenever funds are legally available and when and if declared by the Board of Directors, subject to the prior rights of holders of all classes of preferred stock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share and per share amounts presented in these condensed consolidated financial statements have been retroactively adjusted to reflect the reverse stock split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and Macroeconomic Conditions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Uncertainty in the global economy presents significant risks to our business. We are subject to continuing risks and uncertainties in connection with the current macroeconomic environment, including inflation, interest rates, financial market volatility and uncertainty, the impact of war or military conflict, including the wars in Ukraine and the Middle East, rising tensions between China and Taiwan and the response thereto, public health pandemics, global trade policy volatility, such as tariffs, and supply chain disruptions. Adverse effects of these large macroeconomic conditions have been prevalent in many of the areas where we, our contract research organizations, suppliers or third-party business partners conduct business and as a result, we have experienced disruptions and may continue to experience more pronounced disruptions in our operations. In addition, financial markets have experienced a period of high volatility due to these macroeconomic factors. The persistence of this volatility may impact our ability to engage in capital market activities and adequately fund our operations. As of the filing date of this Quarterly Report, the extent to which these macroeconomic events and conditions may impact our financial condition, results of operations or liquidity is uncertain. The effect of these macroeconomic events and conditions may not be fully reflected in our results of operations and overall financial performance until future periods. For further discussion of the potential impacts of macroeconomic events on our business, financial condition, and operating results, see the section captioned “Risk Factors” in Part II, Item 1A of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Development and License Agreements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Agreements with Tay Therapeutics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Evaluation and Option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2021, we entered into an Evaluation and Option Agreement (the “Option Agreement”) with Tay. For a description of the Option Agreement, see the section titled, “Development and License Agreements—Agreements with Tay Therapeutics—Evaluation and Option Agreement” included in Part I, Item 2 of the Company’s Quarterly Report for the quarterly period ended March 31, 2026 (the “Q1 Form 10-Q”), filed with the Securities and Exchange Commission (“SEC”) on May 15, 2026, which description is incorporated herein by reference.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License for Locally Administered Pan-BD BET Inhibitor Program (Repibresib)</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August 2021, we exercised our option with respect to the repibresib program and entered into a license agreement (the "Repibresib License Agreement") granting us a worldwide, exclusive license that is sublicensable through multiple tiers to exploit certain of Tay’s pan-BD BET inhibitor compounds in all fields. For a description of the Repibresib License Agreement, see the section titled, “</w:t>
      </w:r>
      <w:r>
        <w:rPr>
          <w:rFonts w:ascii="Times New Roman;serif" w:hAnsi="Times New Roman;serif"/>
          <w:b w:val="false"/>
          <w:i/>
          <w:color w:val="000000"/>
          <w:sz w:val="20"/>
        </w:rPr>
        <w:t>Development and License Agreements—Agreements with Tay Therapeutics—License for Locally Administered Pan-BD BET Inhibitor Program (Repibresib)”</w:t>
      </w:r>
      <w:r>
        <w:rPr>
          <w:color w:val="000000"/>
        </w:rPr>
        <w:t xml:space="preserve"> </w:t>
      </w:r>
      <w:r>
        <w:rPr>
          <w:rFonts w:ascii="Times New Roman;serif" w:hAnsi="Times New Roman;serif"/>
          <w:b w:val="false"/>
          <w:color w:val="000000"/>
          <w:sz w:val="20"/>
        </w:rPr>
        <w:t>included in Part I, Item 2 of the Company’s Q1 Form 10-Q, which description is incorporated herein by reference.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License for Selective BET Inhibitor Program (VYN202)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April 28, 2023, we exercised the Oral Option and entered into a license agreement (the “VYN202 License Agreement”) with Tay granting us a worldwide, exclusive license that is sublicensable through multiple tiers to exploit certain of Tay’s Oral BETi Compounds in all fields. For a description of the VYN202 License Agreement, see the section titled, </w:t>
      </w:r>
      <w:r>
        <w:rPr>
          <w:color w:val="000000"/>
        </w:rPr>
        <w:t>“</w:t>
      </w:r>
      <w:r>
        <w:rPr>
          <w:rFonts w:ascii="Times New Roman;serif" w:hAnsi="Times New Roman;serif"/>
          <w:b w:val="false"/>
          <w:i/>
          <w:color w:val="000000"/>
          <w:sz w:val="20"/>
        </w:rPr>
        <w:t>Development and License Agreements—Agreements with Tay Therapeutics—License for Selective BET Inhibitor Program (VYN202)”</w:t>
      </w:r>
      <w:r>
        <w:rPr>
          <w:color w:val="000000"/>
        </w:rPr>
        <w:t xml:space="preserve"> </w:t>
      </w:r>
      <w:r>
        <w:rPr>
          <w:rFonts w:ascii="Times New Roman;serif" w:hAnsi="Times New Roman;serif"/>
          <w:b w:val="false"/>
          <w:color w:val="000000"/>
          <w:sz w:val="20"/>
        </w:rPr>
        <w:t>included in Part I, Item 2 of the Company’s Q1 Form 10-Q, which description is incorporated herein by reference.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GenSci License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December 15, 2025, Changchun Genescience Pharmaceutical Company, Ltd. (“GenSci”) and Yarrow entered into a license agreement (the “GenSci License Agreement”), pursuant to which Yarrow obtained from GenSci an exclusive, royalty-bearing license to develop, manufacture, and commercialize YB-101 (also known as GenSci098), an antibody targeting the TSHR outside Greater China for all fields of use, including the treatment of GD and TED. For a description of the GenSci License Agreement, see the section titled, </w:t>
      </w:r>
      <w:r>
        <w:rPr>
          <w:color w:val="000000"/>
        </w:rPr>
        <w:t>“</w:t>
      </w:r>
      <w:r>
        <w:rPr>
          <w:rFonts w:ascii="Times New Roman;serif" w:hAnsi="Times New Roman;serif"/>
          <w:b w:val="false"/>
          <w:i/>
          <w:color w:val="000000"/>
          <w:sz w:val="20"/>
        </w:rPr>
        <w:t>Yarrow’s Business—Yarrow’s License Agreement—GenSci License Agreement”</w:t>
      </w:r>
      <w:r>
        <w:rPr>
          <w:color w:val="000000"/>
        </w:rPr>
        <w:t xml:space="preserve"> </w:t>
      </w:r>
      <w:r>
        <w:rPr>
          <w:rFonts w:ascii="Times New Roman;serif" w:hAnsi="Times New Roman;serif"/>
          <w:b w:val="false"/>
          <w:color w:val="000000"/>
          <w:sz w:val="20"/>
        </w:rPr>
        <w:t>included in our definitive proxy statement/prospectus filed on Form S-4 with the SEC, most recently amended on June 3, 2026, declared effective on June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the legacy VYNE business generated revenues under development and license agreements, including royalty payments from sales of Finacea foam. We previously licensed the rights to Finacea to LEO Pharma A/S ("LEO Pharma"). Formulation and use patents for Finacea foam currently expire in 2027 and 2029, respectively, but may experience an earlier loss of exclusivity due to generic entry. On June 11, 2026, LEO Pharma notified us of its decision to terminate the Finacea license agreement effective December 31, 2026. As a result, we do not expect to recognize Finacea royalty revenue for periods after December 31, 2026. For both the three months ended June 30, 2026 and 2025, royalty revenues from LEO Pharma in connection with sales of Finacea were $0.1 million. For the six months ended June 30, 2026 and 2025, royalty revenues from LEO Pharma in connection with sales of Finacea were $0.2 million and $0.3 million, respectively.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from the legacy VYNE business primarily related to the development of repibresib and VYN202. We charge all research and development expenses to operations as they are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for the three months ended June 30, 2026 and 2025 were $0.8 million and $4.9 million, respectively. Total research and development expenses for the six months ended June 30, 2026 and 2025 were $1.6 million and $11.0 million, respectively.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employee-related expenses, including salaries, benefits and related expenses, including stock-based compensation expenses, for research and development personnel;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expenses incurred under agreements with third parties, including contract research organizations, subcontractors, suppliers and consultants that conduct regulatory activities, clinical trials and preclinical studies;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expenses incurred to acquire, develop and manufacture clinical trial materials;</w:t>
      </w:r>
    </w:p>
    <w:p>
      <w:pPr>
        <w:pStyle w:val="TextBody"/>
        <w:bidi w:val="0"/>
        <w:spacing w:lineRule="auto" w:line="288" w:before="200" w:after="283"/>
        <w:ind w:left="0" w:right="0" w:hanging="360"/>
        <w:jc w:val="both"/>
        <w:rPr/>
      </w:pPr>
      <w:r>
        <w:rPr>
          <w:color w:val="000000"/>
          <w:shd w:fill="FFFFFF" w:val="clear"/>
        </w:rPr>
        <w:t>•</w:t>
      </w:r>
      <w:r>
        <w:rPr>
          <w:rFonts w:ascii="Times New Roman;serif" w:hAnsi="Times New Roman;serif"/>
          <w:b w:val="false"/>
          <w:color w:val="000000"/>
          <w:sz w:val="20"/>
          <w:shd w:fill="FFFFFF" w:val="clear"/>
        </w:rPr>
        <w:t>expenses and milestone payments incurred under licensing agreements;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costs associated with the creation, development and protection of intellectual property;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other costs associated with preclinical and clinical activities and regulatory operations.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for the three months ended June 30, 2026 and 2025 were $2.4 million and $2.7 million, respectively. Total general and administrative expenses for the six months ended June 30, 2026 and 2025 were $5.5 million and $6.0 million,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consist principally of:</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employee-related expenses, including salaries, benefits and related expenses, including stock-based compensation expenses;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professional fees and consulting expenses related to the Merger;</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professional fees for legal, auditing, tax and other consulting expenses;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facility, insurance, information technology, travel and depreciation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primarily consists of interest earned on our cash, cash equivalents, and marketable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Income Taxes and Net Operating Loss Carryforwards </w:t>
      </w:r>
    </w:p>
    <w:p>
      <w:pPr>
        <w:pStyle w:val="TextBody"/>
        <w:bidi w:val="0"/>
        <w:spacing w:lineRule="auto" w:line="288" w:before="200" w:after="283"/>
        <w:jc w:val="both"/>
        <w:rPr/>
      </w:pPr>
      <w:r>
        <w:rPr>
          <w:rFonts w:ascii="Times New Roman;serif" w:hAnsi="Times New Roman;serif"/>
          <w:b w:val="false"/>
          <w:color w:val="000000"/>
          <w:sz w:val="20"/>
        </w:rPr>
        <w:t>We have incurred significant net operating losses (“NOLs”) since our inception. We expect to continue to incur NOLs until such a time when we generate adequate revenues for us to reach profitability. As of December 31, 2025, we had federal and state net operating loss carryforwards of $332.1 million and $94.2 million, respectively, of which $4.1 million will begin to expire in 2037 for federal and $94.2 million will begin to expire in 2040 for state purposes. As of December 31, 2025, we had federal research and development tax credit carryforwards of $7.1 million, which will begin to expire in 2031. We have no state research and development tax credit carryforwards. As of December 31, 2025, we had $227.8 million in federal and state NOLs with no limited period of use. Other than the federal NOLs expected to expire unutilized as noted below, there were no significant updates through June 30, 2026. We have not completed a Section 382 study through June 30, 2026, however, w</w:t>
      </w:r>
      <w:r>
        <w:rPr>
          <w:rFonts w:ascii="Times New Roman;serif" w:hAnsi="Times New Roman;serif"/>
          <w:b w:val="false"/>
          <w:color w:val="000000"/>
          <w:sz w:val="20"/>
          <w:shd w:fill="FFFFFF" w:val="clear"/>
        </w:rPr>
        <w:t xml:space="preserve">e may have experienced ownership changes in connection with the Merger.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pPr>
      <w:r>
        <w:rPr>
          <w:rFonts w:ascii="Times New Roman;serif" w:hAnsi="Times New Roman;serif"/>
          <w:b w:val="false"/>
          <w:color w:val="000000"/>
          <w:sz w:val="20"/>
        </w:rPr>
        <w:t>NOLs and tax credit carryforwards are subject to review and possible adjustment by the Internal Revenue Service and may become subject to an annual limitation in the event of certain cumulative changes in the ownership interest of significant stockholders over a three-year period in excess of 50%, as defined under Sections 382 and 383 of the Internal Revenue Code of 1986, as amended. This could limit the amount of tax attributes that can be utilized annually to offset future taxable income or tax liabilities. The amount of the annual limitation is determined based on the value of our company immediately prior to the ownership change. Subsequent ownership changes may further affect the limitation in future years. State NOLs and tax credit carryforwards may be subject to similar limitations under state laws. We have not completed a Section 382 study through June 30, 2026, however, w</w:t>
      </w:r>
      <w:r>
        <w:rPr>
          <w:rFonts w:ascii="Times New Roman;serif" w:hAnsi="Times New Roman;serif"/>
          <w:b w:val="false"/>
          <w:color w:val="000000"/>
          <w:sz w:val="20"/>
          <w:shd w:fill="FFFFFF" w:val="clear"/>
        </w:rPr>
        <w:t>e may have experienced ownership changes in connection with the Merger. W</w:t>
      </w:r>
      <w:r>
        <w:rPr>
          <w:rFonts w:ascii="Times New Roman;serif" w:hAnsi="Times New Roman;serif"/>
          <w:b w:val="false"/>
          <w:color w:val="000000"/>
          <w:sz w:val="20"/>
        </w:rPr>
        <w:t xml:space="preserve">e completed a 382 study through March 31, 2025, and noted that we experienced ownership changes in connection with the 2020 merger between Menlo Therapeutics (our predecessor company) and Foamix Pharmaceuticals Ltd. and with our private placement transaction in November 2023. As a result of the ownership changes, $40.2 million of federal NOLs and $2.1 million of research and development tax credits are expected to expire unutilized. We may experience ownership changes in the future as a result of the subsequent shifts in our stock ownership, some of which may be outside of our control. As a result, even if we earn net taxable income, our ability to use the NOL and tax credit carryforwards may be materially limited, which could harm our future operating results by effectively increasing our future tax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tbl>
      <w:tblPr>
        <w:tblW w:w="10205" w:type="dxa"/>
        <w:jc w:val="left"/>
        <w:tblInd w:w="0" w:type="dxa"/>
        <w:tblLayout w:type="fixed"/>
        <w:tblCellMar>
          <w:top w:w="28" w:type="dxa"/>
          <w:left w:w="28" w:type="dxa"/>
          <w:bottom w:w="28" w:type="dxa"/>
          <w:right w:w="28" w:type="dxa"/>
        </w:tblCellMar>
      </w:tblPr>
      <w:tblGrid>
        <w:gridCol w:w="1450"/>
        <w:gridCol w:w="1205"/>
        <w:gridCol w:w="1212"/>
        <w:gridCol w:w="225"/>
        <w:gridCol w:w="723"/>
        <w:gridCol w:w="116"/>
        <w:gridCol w:w="116"/>
        <w:gridCol w:w="116"/>
        <w:gridCol w:w="116"/>
        <w:gridCol w:w="225"/>
        <w:gridCol w:w="723"/>
        <w:gridCol w:w="116"/>
        <w:gridCol w:w="109"/>
        <w:gridCol w:w="109"/>
        <w:gridCol w:w="109"/>
        <w:gridCol w:w="329"/>
        <w:gridCol w:w="1065"/>
        <w:gridCol w:w="169"/>
        <w:gridCol w:w="109"/>
        <w:gridCol w:w="109"/>
        <w:gridCol w:w="109"/>
        <w:gridCol w:w="359"/>
        <w:gridCol w:w="327"/>
        <w:gridCol w:w="959"/>
      </w:tblGrid>
      <w:tr>
        <w:trPr/>
        <w:tc>
          <w:tcPr>
            <w:tcW w:w="145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w:t>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 before income taxes</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discontinued operations, net of income taxes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*Percentage not meaningful</w:t>
      </w:r>
    </w:p>
    <w:p>
      <w:pPr>
        <w:pStyle w:val="TextBody"/>
        <w:bidi w:val="0"/>
        <w:spacing w:lineRule="auto" w:line="288" w:before="200" w:after="283"/>
        <w:jc w:val="both"/>
        <w:rPr/>
      </w:pPr>
      <w:r>
        <w:rPr>
          <w:rFonts w:ascii="Times New Roman;serif" w:hAnsi="Times New Roman;serif"/>
          <w:b/>
          <w:i/>
          <w:color w:val="000000"/>
          <w:sz w:val="20"/>
        </w:rPr>
        <w:t>Revenues</w:t>
      </w:r>
      <w:r>
        <w:rPr>
          <w:color w:val="000000"/>
        </w:rPr>
        <w: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Revenues totaled $0.1 million for both the three months ended June 30, 2026 and 2025, consisting of royalty revenue from our royalty agreement with LEO Pharma.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for the three months ended June 30, 2026 were $0.8 million, representing a decrease of $4.1 million, or 83.9%, compared to $4.9 million for the three months ended June 30, 2025. The decrease was primarily driven by a decrease of $2.4 million in expenses for repibresib, a decrease of $1.3 million in expenses for VYN202, and a decrease of $0.4 million for employee related expenses. The $2.4 million decrease in expenses for repibresib was primarily driven by the timing of expenses for the Phase 2b trial in nonsegmental vitiligo, including our decision to terminate the trial following the announcement of topline results in July 2025. The $1.3 million decrease in expenses for VYN202 was primarily driven by decreased clinical expenses following the clinical hold placed on our Phase 1b trial evaluating VYN202 in subjects with moderate-to-severe plaque psoriasis and our decision to terminate the trial in July 2025. The main driver of current expenses is the repeat non-clinical toxicology study of VYN202 in male dogs, and related costs, to potentially maximize strategic optionality for the asset. The study is expected to be completed in the second half of 2026, with a final report expected in the fourth quarter of 2026.</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General and Administrative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expenses for the three months ended June 30, 2026 were $2.4 million, representing a decrease of approximately $0.3 million, or 11.7%, compared to $2.7 million for the three months ended June 30, 2025. The decrease was primarily driven by lower employee-related expenses of $0.3 million and decreased non-transaction consulting and professional fees of $0.5 million, partially offset by the increase of consulting and professional fees of $0.5 million related to finance and legal expenses for the Merger.</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for the three months ended June 30, 2026 was $0.2 million, representing a decrease of approximately $1.6 million, or 88.7% compared to $1.8 million for the three months ended June 30, 2025. The decrease was primarily driven by the recognition of $1.3 million in income in 2025 related to the closure of the United States Internal Revenue Service ("IRS") examination period of our Employee Retention Credit ("ERTC") filings. The remainder is related to a reduction in interest income earned on cash, cash equivalents and marketable securities compared to prior year.</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Loss from Discontinued Operations, Net of Income Taxes</w:t>
      </w:r>
    </w:p>
    <w:p>
      <w:pPr>
        <w:pStyle w:val="TextBody"/>
        <w:bidi w:val="0"/>
        <w:spacing w:lineRule="auto" w:line="288" w:before="200" w:after="283"/>
        <w:jc w:val="both"/>
        <w:rPr/>
      </w:pPr>
      <w:r>
        <w:rPr>
          <w:rFonts w:ascii="Times New Roman;serif" w:hAnsi="Times New Roman;serif"/>
          <w:b w:val="false"/>
          <w:color w:val="000000"/>
          <w:sz w:val="20"/>
        </w:rPr>
        <w:t xml:space="preserve">Due to the sale of our legacy commercial business (the "MST Franchise") during the first quarter of 2022, in accordance with Accounting Standards Codification 205, </w:t>
      </w:r>
      <w:r>
        <w:rPr>
          <w:rFonts w:ascii="Times New Roman;serif" w:hAnsi="Times New Roman;serif"/>
          <w:b w:val="false"/>
          <w:i/>
          <w:color w:val="000000"/>
          <w:sz w:val="20"/>
        </w:rPr>
        <w:t xml:space="preserve">Discontinued Operations </w:t>
      </w:r>
      <w:r>
        <w:rPr>
          <w:rFonts w:ascii="Times New Roman;serif" w:hAnsi="Times New Roman;serif"/>
          <w:b w:val="false"/>
          <w:color w:val="000000"/>
          <w:sz w:val="20"/>
        </w:rPr>
        <w:t>("ASC 205"), we have classified the results of the MST Franchise as discontinued operations in our unaudited condensed consolidated statements of operations and comprehensive loss for all periods presented. See "Note 4 - Discontinued Operations" in the accompanying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tbl>
      <w:tblPr>
        <w:tblW w:w="10205" w:type="dxa"/>
        <w:jc w:val="left"/>
        <w:tblInd w:w="0" w:type="dxa"/>
        <w:tblLayout w:type="fixed"/>
        <w:tblCellMar>
          <w:top w:w="28" w:type="dxa"/>
          <w:left w:w="28" w:type="dxa"/>
          <w:bottom w:w="28" w:type="dxa"/>
          <w:right w:w="28" w:type="dxa"/>
        </w:tblCellMar>
      </w:tblPr>
      <w:tblGrid>
        <w:gridCol w:w="1461"/>
        <w:gridCol w:w="1218"/>
        <w:gridCol w:w="1225"/>
        <w:gridCol w:w="211"/>
        <w:gridCol w:w="676"/>
        <w:gridCol w:w="109"/>
        <w:gridCol w:w="109"/>
        <w:gridCol w:w="109"/>
        <w:gridCol w:w="109"/>
        <w:gridCol w:w="211"/>
        <w:gridCol w:w="781"/>
        <w:gridCol w:w="109"/>
        <w:gridCol w:w="109"/>
        <w:gridCol w:w="109"/>
        <w:gridCol w:w="109"/>
        <w:gridCol w:w="331"/>
        <w:gridCol w:w="1071"/>
        <w:gridCol w:w="170"/>
        <w:gridCol w:w="109"/>
        <w:gridCol w:w="109"/>
        <w:gridCol w:w="109"/>
        <w:gridCol w:w="359"/>
        <w:gridCol w:w="329"/>
        <w:gridCol w:w="963"/>
      </w:tblGrid>
      <w:tr>
        <w:trPr/>
        <w:tc>
          <w:tcPr>
            <w:tcW w:w="14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Increase/(Decrease)</w:t>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 before income taxes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discontinued operations, net of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*Percentage not meaningful</w:t>
      </w:r>
    </w:p>
    <w:p>
      <w:pPr>
        <w:pStyle w:val="TextBody"/>
        <w:bidi w:val="0"/>
        <w:spacing w:lineRule="auto" w:line="288" w:before="200" w:after="283"/>
        <w:jc w:val="both"/>
        <w:rPr/>
      </w:pPr>
      <w:r>
        <w:rPr>
          <w:rFonts w:ascii="Times New Roman;serif" w:hAnsi="Times New Roman;serif"/>
          <w:b/>
          <w:i/>
          <w:color w:val="000000"/>
          <w:sz w:val="20"/>
        </w:rPr>
        <w:t>Revenues</w:t>
      </w:r>
      <w:r>
        <w:rPr>
          <w:color w:val="000000"/>
        </w:rPr>
        <w: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Revenues totaled $0.2 million and $0.3 million for the six months ended June 30, 2026 and 2025, respectively, consisting of royalty revenue from our royalty agreement with LEO Pharma.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for the six months ended June 30, 2026 were $1.6 million, representing a decrease of $9.4 million, or 85.4%, compared to $11.0 million for the six months ended June 30, 2025. The decrease was primarily driven by a decrease of $4.8 million in expenses for repibresib, a decrease of $3.6 million in expenses for VYN202, a decrease of $0.8 million for employee related expenses, and a decrease of $0.2 million for other research and development services. The $4.8 million decrease in expenses for repibresib was primarily driven by the timing of expenses for the Phase 2b trial in nonsegmental vitiligo, including our decision to terminate the trial following the announcement of topline results in July 2025. The $3.6 million decrease in expenses for VYN202 was primarily driven by decreased clinical expenses following the clinical hold placed on our Phase 1b trial evaluating VYN202 in subjects with moderate-to-severe plaque psoriasis and our decision to terminate the trial in July 2025. The main driver of current expenses is the repeat non-clinical toxicology study of VYN202 in male dogs, and related costs, to potentially maximize strategic optionality for the asset. The study is expected to be completed in the second half of 2026, with a final report expected in the fourth quarter of 2026.</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General and Administrative Expenses</w:t>
      </w:r>
    </w:p>
    <w:p>
      <w:pPr>
        <w:pStyle w:val="TextBody"/>
        <w:bidi w:val="0"/>
        <w:spacing w:lineRule="auto" w:line="288" w:before="200" w:after="283"/>
        <w:jc w:val="both"/>
        <w:rPr/>
      </w:pPr>
      <w:r>
        <w:rPr>
          <w:rFonts w:ascii="Times New Roman;serif" w:hAnsi="Times New Roman;serif"/>
          <w:b w:val="false"/>
          <w:color w:val="000000"/>
          <w:sz w:val="20"/>
        </w:rPr>
        <w:t xml:space="preserve">Our general and administrative expenses for the six months ended June 30, 2026 were </w:t>
      </w:r>
      <w:r>
        <w:rPr>
          <w:rFonts w:ascii="Times New Roman;serif" w:hAnsi="Times New Roman;serif"/>
          <w:b w:val="false"/>
          <w:color w:val="000000"/>
          <w:sz w:val="20"/>
          <w:shd w:fill="FFFFFF" w:val="clear"/>
        </w:rPr>
        <w:t>$5.5 million</w:t>
      </w:r>
      <w:r>
        <w:rPr>
          <w:rFonts w:ascii="Times New Roman;serif" w:hAnsi="Times New Roman;serif"/>
          <w:b w:val="false"/>
          <w:color w:val="000000"/>
          <w:sz w:val="20"/>
        </w:rPr>
        <w:t>, representing a decrease of approximately $0.5 million, or 8.5%, compared to $6.0 million for the six months ended June 30, 2025. The decrease was primarily driven by lower employee-related expenses of $0.8 million and lower non-transaction consulting and professional fees of $1.2 million. The decrease was partially offset by increased consulting and professional fees of $1.5 million related to finance and legal expenses for the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Other Income, Net </w:t>
      </w:r>
    </w:p>
    <w:p>
      <w:pPr>
        <w:pStyle w:val="TextBody"/>
        <w:bidi w:val="0"/>
        <w:spacing w:lineRule="auto" w:line="288" w:before="200" w:after="283"/>
        <w:jc w:val="both"/>
        <w:rPr/>
      </w:pPr>
      <w:r>
        <w:rPr>
          <w:rFonts w:ascii="Times New Roman;serif" w:hAnsi="Times New Roman;serif"/>
          <w:b w:val="false"/>
          <w:color w:val="000000"/>
          <w:sz w:val="20"/>
        </w:rPr>
        <w:t xml:space="preserve">Other income, net for the six months ended June 30, 2026 was </w:t>
      </w:r>
      <w:r>
        <w:rPr>
          <w:rFonts w:ascii="Times New Roman;serif" w:hAnsi="Times New Roman;serif"/>
          <w:b w:val="false"/>
          <w:color w:val="000000"/>
          <w:sz w:val="20"/>
          <w:shd w:fill="FFFFFF" w:val="clear"/>
        </w:rPr>
        <w:t>$0.4 million</w:t>
      </w:r>
      <w:r>
        <w:rPr>
          <w:rFonts w:ascii="Times New Roman;serif" w:hAnsi="Times New Roman;serif"/>
          <w:b w:val="false"/>
          <w:color w:val="000000"/>
          <w:sz w:val="20"/>
        </w:rPr>
        <w:t xml:space="preserve">, representing a decrease of approximately </w:t>
      </w:r>
      <w:r>
        <w:rPr>
          <w:rFonts w:ascii="Times New Roman;serif" w:hAnsi="Times New Roman;serif"/>
          <w:b w:val="false"/>
          <w:color w:val="000000"/>
          <w:sz w:val="20"/>
          <w:shd w:fill="FFFFFF" w:val="clear"/>
        </w:rPr>
        <w:t>$2.0 million</w:t>
      </w:r>
      <w:r>
        <w:rPr>
          <w:rFonts w:ascii="Times New Roman;serif" w:hAnsi="Times New Roman;serif"/>
          <w:b w:val="false"/>
          <w:color w:val="000000"/>
          <w:sz w:val="20"/>
        </w:rPr>
        <w:t xml:space="preserve">, or 81.8% compared to </w:t>
      </w:r>
      <w:r>
        <w:rPr>
          <w:rFonts w:ascii="Times New Roman;serif" w:hAnsi="Times New Roman;serif"/>
          <w:b w:val="false"/>
          <w:color w:val="000000"/>
          <w:sz w:val="20"/>
          <w:shd w:fill="FFFFFF" w:val="clear"/>
        </w:rPr>
        <w:t>$2.4 million</w:t>
      </w:r>
      <w:r>
        <w:rPr>
          <w:color w:val="000000"/>
        </w:rPr>
        <w:t xml:space="preserve"> </w:t>
      </w:r>
      <w:r>
        <w:rPr>
          <w:rFonts w:ascii="Times New Roman;serif" w:hAnsi="Times New Roman;serif"/>
          <w:b w:val="false"/>
          <w:color w:val="000000"/>
          <w:sz w:val="20"/>
        </w:rPr>
        <w:t>for the six months ended June 30, 2025. The decrease was primarily driven by the recognition of $1.3 million in income in 2025 related to the closure of the IRS examination period of our Employee Retention Credit ("ERTC") filings. The remainder is related to a reduction in interest income earned on cash, cash equivalents and marketable securities compared to prior year.</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Loss from Discontinued Operations, Net of 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Due to the sale of the MST Franchise during the first quarter of 2022, in accordance with ASC 205 we have classified the results of the MST Franchise as discontinued operations in our unaudited condensed consolidated statements of operations and comprehensive loss for all periods presented. See "Note 4 - Discontinued Operations" in the accompanying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$22.9 million and an accumulated deficit of $764.2 million. We had no outstanding debt as of June 30, 2026. For the six months ended June 30, 2026, we incurred a net loss of $6.6 million and used $6.1 million of cash in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17, 2025, we entered into the Merger Agreement pursuant to which, among other matters, Merger Sub merged with and into Yarrow, with Yarrow surviving as our wholly owned subsidiary. On July 27, 2026, we completed the Merger. Following the closing of the Merger, the Combined Company expects its existing cash resources to be sufficient to fund operations into 2028.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sources of funding for the six months ended June 30, 2026 and 2025 are further evaluated in the cash flow section below. Other than our obligations pursuant to the Tay License Agreements and, following the closing of the Merger, the GenSci License Agreement, we have no ongoing material financial commitments that may affect our liquidity over the next five years. Following the closing of the Merger, we are also subject to contingent milestone payment obligations to GenSci under the GenSci License Agreement, as well as royalty obligations on net sales of YB-101 that would become payable only if and when YB-101 receives regulatory approval and is commercialized. See the sections titled “Development and License Agreements—Agreements with Tay Therapeutics” and “Development and License Agreements—GenSci License Agreement” for additional discussion of our financial obligations under these agreements.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Merger, our primary uses of capital were historically compensation and related expenses, research and development costs to support our product candidate pipeline, legal and other regulatory expenses and general overhead costs. As of June 30, 2026, we suspended and substantially wound down our research and development activities in anticipation of the Merger with Yarrow and our operations were limited.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continue the development of any future product candidates, we will require substantial additional capital. Accordingly, we may seek to raise any necessary additional capital through private or public equity or debt financings, loans or other capital sources, which could include collaborations, partnerships or other licensing or other strategic arrangements with third parties. To the extent that we raise additional capital through equity financings or convertible debt securities, the ownership interest of our stockholders will be or could be diluted, and the terms of these securities may include liquidation, voting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raise additional capital may also be adversely impacted by global economic conditions and disruptions to, and volatility in, the credit and financial markets in the United States and worldwide resulting from bank failures, other general macroeconomic conditions and otherwise. The failure to obtain sufficient capital on acceptable terms when needed could have a material adverse effect on our business, results of operations or financial condition, including requiring us to delay, reduce or curtail our research or product development efforts. We cannot provide assurance that we will ever generate positive cash flow from operating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present and future funding requirements will depend on a number of factors, including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benefits of the Merger and our ability to integrate the businesses of VYNE and Yarrow: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scope, timing, progress, results, and costs of researching and developing YB-101;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scope, timing, progress, results, and costs of preclinical studies and clinical trials for any other current and future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time and costs involved in obtaining regulatory approval for our other pipeline product candidates and any delays we may encounter as a result of evolving regulatory requirements or adverse results with respect to any of these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terms and timing of any acquisitions, collaborations or other arrangements;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 and timing of attracting, hiring, and retaining skilled personnel to support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number of potential new products we identify and decide to develop;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involved in filing and prosecuting patent applications and obtaining, maintaining and enforcing patents or defending against claims or infringements raised by third parties, and license royalties or other amounts we may be required to pay to obtain rights to third party intellectual property rights;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associated with operating as a public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operating plan may change as a result of many factors currently unknown to us, and any such change may affect our funding requirements. We may therefore need to seek additional capital sooner than planned, through public or private equity or debt financings or other sources, such as strategic collaborations or additional license arrangements. Such financings may result in dilution to stockholders, imposition of debt covenants and repayment obligations or other restrictions that may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as to the risks associated with our future funding needs, see the section captioned “Risk Factors” in this report.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six months ended June 30, 2026 and 2025:</w:t>
      </w:r>
    </w:p>
    <w:tbl>
      <w:tblPr>
        <w:tblW w:w="5304" w:type="dxa"/>
        <w:jc w:val="left"/>
        <w:tblInd w:w="0" w:type="dxa"/>
        <w:tblLayout w:type="fixed"/>
        <w:tblCellMar>
          <w:top w:w="28" w:type="dxa"/>
          <w:left w:w="28" w:type="dxa"/>
          <w:bottom w:w="28" w:type="dxa"/>
          <w:right w:w="28" w:type="dxa"/>
        </w:tblCellMar>
      </w:tblPr>
      <w:tblGrid>
        <w:gridCol w:w="1015"/>
        <w:gridCol w:w="894"/>
        <w:gridCol w:w="896"/>
        <w:gridCol w:w="211"/>
        <w:gridCol w:w="691"/>
        <w:gridCol w:w="109"/>
        <w:gridCol w:w="109"/>
        <w:gridCol w:w="109"/>
        <w:gridCol w:w="109"/>
        <w:gridCol w:w="211"/>
        <w:gridCol w:w="79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 provided by:</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Net Cash Used in Operating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operating activities was $6.1 million and primarily reflected our net loss of $6.6 million adjusted for non-cash stock-based compensation expense of $0.9 million. The remainder of the cash used in operations was driven by changes in operating assets and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operating activities was $22.3 million and primarily reflected our net loss of $14.4 million adjusted for non-cash stock-based compensation expense of $1.3 million, partially offset by the amortization of premium on marketable securities of $0.5 million. The remainder of the cash used in operations was driven by the changes in operating assets and liabilities.</w:t>
      </w:r>
    </w:p>
    <w:p>
      <w:pPr>
        <w:pStyle w:val="TextBody"/>
        <w:bidi w:val="0"/>
        <w:spacing w:lineRule="auto" w:line="288" w:before="200" w:after="283"/>
        <w:jc w:val="left"/>
        <w:rPr/>
      </w:pPr>
      <w:r>
        <w:rPr>
          <w:rFonts w:ascii="Times New Roman;serif" w:hAnsi="Times New Roman;serif"/>
          <w:b w:val="false"/>
          <w:i/>
          <w:color w:val="000000"/>
          <w:sz w:val="20"/>
        </w:rPr>
        <w:t>Net Cash Provided by Inve</w:t>
      </w:r>
      <w:r>
        <w:rPr>
          <w:rFonts w:ascii="Times New Roman;serif" w:hAnsi="Times New Roman;serif"/>
          <w:b w:val="false"/>
          <w:i/>
          <w:color w:val="000000"/>
          <w:sz w:val="20"/>
          <w:shd w:fill="FFFFFF" w:val="clear"/>
        </w:rPr>
        <w:t>sting Activities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six months ended June 30, 2026, net cash provided by investing activities was $5.0 million and consisted of $5.0 million of proceeds received from the sale and maturity of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pPr>
      <w:r>
        <w:rPr>
          <w:rFonts w:ascii="Times New Roman;serif" w:hAnsi="Times New Roman;serif"/>
          <w:b w:val="false"/>
          <w:color w:val="000000"/>
          <w:sz w:val="20"/>
          <w:shd w:fill="FFFFFF" w:val="clear"/>
        </w:rPr>
        <w:t>During the six months ended June 30, 2025, net cash provided by investing activities was $24.5 million and consisted of $47.9 million of proceeds received from the sale and maturity of marketable securities, partially off</w:t>
      </w:r>
      <w:r>
        <w:rPr>
          <w:rFonts w:ascii="Times New Roman;serif" w:hAnsi="Times New Roman;serif"/>
          <w:b w:val="false"/>
          <w:color w:val="000000"/>
          <w:sz w:val="20"/>
        </w:rPr>
        <w:t xml:space="preserve">set by </w:t>
      </w:r>
      <w:r>
        <w:rPr>
          <w:rFonts w:ascii="Times New Roman;serif" w:hAnsi="Times New Roman;serif"/>
          <w:b w:val="false"/>
          <w:color w:val="000000"/>
          <w:sz w:val="20"/>
          <w:shd w:fill="FFFFFF" w:val="clear"/>
        </w:rPr>
        <w:t xml:space="preserve">$23.3 million paid for the purchase of marketable securities.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lineRule="auto" w:line="288" w:before="200" w:after="283"/>
        <w:jc w:val="both"/>
        <w:rPr/>
      </w:pPr>
      <w:r>
        <w:rPr>
          <w:rFonts w:ascii="Times New Roman;serif" w:hAnsi="Times New Roman;serif"/>
          <w:b w:val="false"/>
          <w:color w:val="000000"/>
          <w:sz w:val="20"/>
        </w:rPr>
        <w:t xml:space="preserve">During the six months ended June 30, 2026, net cash used in financing activities was </w:t>
      </w:r>
      <w:r>
        <w:rPr>
          <w:rFonts w:ascii="Times New Roman;serif" w:hAnsi="Times New Roman;serif"/>
          <w:b w:val="false"/>
          <w:color w:val="000000"/>
          <w:sz w:val="20"/>
          <w:shd w:fill="FFFFFF" w:val="clear"/>
        </w:rPr>
        <w:t>$29.0 thousand</w:t>
      </w:r>
      <w:r>
        <w:rPr>
          <w:color w:val="000000"/>
        </w:rPr>
        <w:t xml:space="preserve"> </w:t>
      </w:r>
      <w:r>
        <w:rPr>
          <w:rFonts w:ascii="Times New Roman;serif" w:hAnsi="Times New Roman;serif"/>
          <w:b w:val="false"/>
          <w:color w:val="000000"/>
          <w:sz w:val="20"/>
        </w:rPr>
        <w:t>and consisted of withholdings related to the exercise of options and issuance of stock for stock-based compensation arrangements.</w:t>
      </w:r>
    </w:p>
    <w:p>
      <w:pPr>
        <w:pStyle w:val="TextBody"/>
        <w:bidi w:val="0"/>
        <w:spacing w:lineRule="auto" w:line="288" w:before="200" w:after="283"/>
        <w:jc w:val="both"/>
        <w:rPr/>
      </w:pPr>
      <w:r>
        <w:rPr>
          <w:rFonts w:ascii="Times New Roman;serif" w:hAnsi="Times New Roman;serif"/>
          <w:b w:val="false"/>
          <w:color w:val="000000"/>
          <w:sz w:val="20"/>
        </w:rPr>
        <w:t xml:space="preserve">During the six months ended June 30, 2025, net cash used in financing activities was </w:t>
      </w:r>
      <w:r>
        <w:rPr>
          <w:rFonts w:ascii="Times New Roman;serif" w:hAnsi="Times New Roman;serif"/>
          <w:b w:val="false"/>
          <w:color w:val="000000"/>
          <w:sz w:val="20"/>
          <w:shd w:fill="FFFFFF" w:val="clear"/>
        </w:rPr>
        <w:t>$0.1 million</w:t>
      </w:r>
      <w:r>
        <w:rPr>
          <w:color w:val="000000"/>
        </w:rPr>
        <w:t xml:space="preserve"> </w:t>
      </w:r>
      <w:r>
        <w:rPr>
          <w:rFonts w:ascii="Times New Roman;serif" w:hAnsi="Times New Roman;serif"/>
          <w:b w:val="false"/>
          <w:color w:val="000000"/>
          <w:sz w:val="20"/>
        </w:rPr>
        <w:t>and consisted of withholdings related to the exercise of options and issuance of stock for stock-based compensation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are described in our Annual Report on Form 10-K for the year ended December 31, 2025 filed with the SEC on February 27, 2026. There have been no material changes to these policies for the six months ended June 30, 2026, except as set forth below.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Effective March 31, 2026 and prior to the Merger, research and development accruals were no longer deemed a critical accounting policy for VYNE. However, the research and development accrual is a critical accounting policy for the Combined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not party to any off-balance sheet arrangements that have, or are reasonably likely to have, a material current or future effect on our financial condition, revenues or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and Adopted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“Newly issued and recently adopted accounting pronouncements (p)” in "Note 2 - Significant Accounting Policies” in the Notes to Unaudited Condensed Consolidated Financial Statements for a discussion of recently adopted accounting pronouncements and accounting pronouncements not yet adopted, and their expected impact on our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of the Exchange Act and Item 10 of Regulation S-K. As such, we are not required to provide the information set forth in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the effectiveness of our disclosure controls and procedures (as such term is defined in Rules 13a-15(e) and 15d-15(e) under the Exchange Act and regulations promulgated thereunder) as of June 30, 2026. Based on such evaluation, those officers have concluded that, as of June 30, 2026, our disclosure controls and procedures were effective at the reasonable assurance level.</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litigation or other legal proceedings relating to claims that we consider to be arising from the ordinary course of our business. There are currently no claims or actions pending against us that, in the opinion of our management, are likely to have a material adverse effect on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Information about our risk factors is contained in Part I, Item 1A of our Annual Report for the fiscal year ended December 31, 2025 filed with the SEC on February 27, 2026. As a result of the Merger, which was completed on July 27, 2026, and the resulting change in our business, the risk factors set forth below supersede and replace in their entirety the risk factors disclosed in the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Limited Operating History, Financial Position and Capital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 clinical-stage biotechnology company with a limited operating history as a combined company on which to assess our business; we have not completed any clinical trials, and have no products approved for commercial sale, which may make it difficult to evaluate our current business and likelihood of success and viability.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with a limited operating history as a combined company. We completed the Merger on July 27, 2026 and, following the Merger, the pre-Merger business of Yarrow became our primary business. VYNE divested its commercial business in January 2022, and we do not intend to devote significant resources to the legacy VYNE product candidates, repibresib and VYN202, which we continue to evaluate for a potential sale, license, transfer, disposition, divestiture or other monetization transaction. Accordingly, VYNE’s historical operating results are not indicative of our future results of operations or prospects. Since Yarrow’s inception, Yarrow has incurred operating losses with no corresponding revenue and has utilized substantially all of its resources to identify, license and develop Yarrow’s lead product candidate, YB-101, to organize and staff the company and provide other general and administrative support for operations. Yarrow has no significant experience in initiating, conducting or completing preclinical studies or clinical trials, and none of Yarrow’s product candidates has completed a pivotal clinical trial or been approved for commercial sale. While the legacy VYNE business initiated and conducted clinical trials of its own product candidates, our management team and personnel following the Merger consist substantially of those of Yarrow prior to the Merger, and we do not expect to realize the full benefit of VYNE’s prior clinical development experience in advancing YB-101. In part because of this lack of experience, we cannot be certain that our clinical trials and any future preclinical studies will begin or be completed on time, if at all. In addition, we have not yet demonstrated an ability to obtain regulatory approvals for YB-101 or any future product candidate, manufacture a commercial-scale product or arrange for a third party to do so on our behalf, or conduct sales, marketing and distribution activities necessary for successful product commercialization. Consequently, any predictions about our future success or viability may not be as accurate as they could be if we had a longer operating history as a combined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as our business grows, we may encounter unforeseen expenses, restrictions, difficulties, complications, delays and other known and unknown factors. We will need to transition at some point from a company with an early-stage clinical development focus to a company capable of supporting larger scale clinical trials and eventually commercial activities. We may not be successful in such a transition. We also have limited experience operating as a combined company, and the integration of Yarrow’s operations with the legacy VYNE organization, including operating as a public company, may take longer or cost more than we expect and may divert management’s attention from the development of YB-101 and any future product candidate.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will require substantial additional capital to finance our operations in the future. If we are unable to raise such capital when needed, or on acceptable terms, we may be forced to delay, reduce and/or discontinue development of YB-101 or our future commercialization efforts.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Developing biotechnology products is a long, time-consuming, expensive and uncertain process that takes years to complete. We expect our expenses to increase in connection with our ongoing activities, particularly as we conduct clinical trials of, and seek regulatory approval for YB-101, conduct any future preclinical studies, advance discovery efforts with respect to future product candidates, and advance any future programs and product candidates that we may license. Even if one or more of the product candidates that we develop is approved for commercial sale, we anticipate incurring significant costs associated with sales, marketing, manufacturing and distribution activities to launch any such product. Our expenses could increase beyond expectations if we are required by the FDA or other regulatory agencies to perform preclinical studies or clinical trials in addition to or more expansive than those that we currently anticipate. Because the design and outcome of our planned and anticipated clinical trials are highly uncertain, we cannot reasonably estimate the actual amount of funding that will be necessary to successfully complete the development and commercialization of any product candidate we develop. Our future capital requirements depend on many factors, including but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scope, design, progress, results and costs of clinical development for YB-101 and any discovery or preclinical and clinical development of future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 and timing of completion of clinical and commercial-scale manufacturing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and timing of preparing, filing and prosecuting patent applications, maintaining, defending and enforcing our intellectual property and proprietary rights, and defending intellectual property-related claims, including claims of infringement, misappropriation or other violations of third-party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timing and outcome of the regulatory review of our product candidates and obtaining the requisite regulatory approvals;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of our future commercialization activities, either on our own or in collaboration with others, including product sales, marketing, manufacturing, and distribution for any product candidate for which we receive regulatory approval;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revenue, if any, received from commercial sales of product candidates for which we receive regulatory approval;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success of our current or future collaborations, including our collaboration with GenSci pursuant to the GenSci License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establish and maintain additional collaborations on favorable terms, if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extent to which we acquire or in-license products, intellectual property and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of operational, financial and management information systems and associated personnel;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of operating as a public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we will require substantial additional funding to continue our operations. As of June 30, 2026, we had $22.9 million of cash and cash equivalents. After giving effect to the consummation of the Merger, we expect our existing cash and cash equivalents will be sufficient to enable us to fund our operating expenses and capital expenditure requirements into 2028. However, we will still need to raise additional capital to continue to fund our operations in the future. If we are unable to raise additional capital when needed, that could raise substantial doubt about our ability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be required to seek additional funds sooner than planned through public or private equity offerings, debt financings, collaborations and licensing arrangements or other sources, and adequate additional financing may not be available to us on acceptable terms, or at all. Such financing may dilute our stockholders or the failure to obtain such financing may restrict our operating activities. Any additional fundraising efforts may divert our management from their day-to-day activities, which may adversely affect our business. To the extent that we raise additional capital through the sale of equity or convertible debt securities, the ownership interest of our stockholders will be diluted, and the terms may include liquidation or other preferences and anti-dilution protections that adversely affect the rights of our stockholders. Debt financing may result in the imposition of debt covenants, increased fixed payment obligations or other restrictions that may affect our business. If we raise additional funds through upfront payments or milestone payments pursuant to current or future collaborations with third parties, we may have to relinquish valuable rights to our product candidates, or grant licenses on terms that are not favorable to us. Our ability to raise additional capital may be adversely impacted by global macroeconomic conditions and volatility in the credit and financial markets in the United States and worldwide. Our failure to raise capital as and when needed or on acceptable terms could have a negative impact on our financial condition and our ability to pursue our business strategy, and we may have to delay, reduce the scope of, suspend or eliminate one or more of our product candidates, clinical trials or future commercialization efforts or cease our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expect to continue to incur losses for the foreseeable future and may not be able to achieve or sustain profitability in the future. We have no products approved for sale and may never generate meaningful revenue or become profitable.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in biotechnology product development is a highly speculative undertaking and entails substantial upfront capital expenditures, with significant risks that any product candidate will fail to demonstrate adequate efficacy or an acceptable safety profile, gain regulatory approval and become commercially viable. Following the completion of the Merger, the Combined Company's business is primarily focused on the development of YB-101, our sole product candidate. We have no products approved for commercial sale, and we continue to incur significant research and development and other expenses related to our ongoing operations. Although the legacy VYNE business historically generated revenues under development and license agreements, including royalty payments from sales of Finacea foam under our license agreement with LEO Pharma, LEO Pharma has notified us of its decision to terminate the Finacea license agreement effective December 31, 2026 and we do not expect to recognize royalty revenue for periods after that date. Accordingly, we do not expect to generate meaningful revenue unless or until we successfully complete preclinical and clinical development and obtain regulatory approval of, and then successfully commercialize, YB-101 or any future product candidate.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never succeed in these activities and, even if we do, may never generate revenues that are significant or large enough to achieve profitability. If we are unable to raise sufficient additional capital to advance a product candidate to commercialization or generate sufficient revenue through the sale of any approved products, we may be unable to continue operations without additional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an accumulated deficit of $764.2 million. We expect to continue to incur losses for the foreseeable future. Our operating expenses and net losses may fluctuate significantly from quarter to quarter and year to year. We anticipate that our expenses will increase substantially if and as we: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advance our existing and any future product candidates through preclinical and clinical development;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seek to identify additional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 expand, enforce, defend and protect our intellectual property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seek, obtain and maintain regulatory and marketing approvals for our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seek to identify, establish and maintain additional collaborations and license agreements;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make milestone payments to GenSci under the GenSci License Agreement, and under any additional future collaboration or license agreements that we may enter into;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ultimately establish a sales, marketing and distribution infrastructure to commercialize any drug products for which we may obtain regulatory approval, either on our own or in collaboration with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generate revenue from commercial sales of product candidates for which we receive regulatory approval, if 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hire additional personnel including research and development, clinical and commercial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 operational, financial and management information systems and personnel, including personnel to support our product development;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acquire or in-license products, intellectual property and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 clinical and commercial-scale cGMP capabilities through a third-party or our own manufacturing facility;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operate as a public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expenses will increase if, among other things, we are required by the FDA or other regulatory authorities to perform clinical trials or studies in addition to, or different than, those that we currently anticipate, there are any delays in completing our clinical trials or the development of any of our product candidates, or there are any third-party challenges to our intellectual property or we need to defend against any intellectual property-related claim.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 if we obtain regulatory approval for, and are successful in commercializing, one or more of our product candidates, we expect to incur substantial additional research and development and other expenditures to develop and market additional product candidates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failure to become profitable would decrease our value and could impair our ability to raise capital, maintain our research and development efforts, expand our business and/or continue our operations. A decline in the value of our stock could also cause stockholders to lose all or part of their investment.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Discovery, Development and Commercialization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face competition from entities that have developed or may develop product candidates for the diseases addressed by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drugs is highly competitive, particularly in the treatment of GD and TED. YB-101,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including Immunovant, Inc., Biohaven Ltd., Amgen, Inc. (“Amgen”), which acquired TEPEZZA® from Horizon Therapeutics plc in October 2023, Alumis Inc., Argenx SE, Sanofi, Merida Biosciences, H. Lundbeck A/S, Lassen Therapeutics, Roche, Sling Therapeutics, Inc., Novartis AG (which acquired Tourmaline Bio, Inc. in October 2025), and Viridian Therapeutics, Inc.,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regulatory approved products than we do, and are further along in the clinical development and/or commercialization process. Mergers and acquisitions in the pharmaceutical and biotechnology industry may result in even more resources being concentrated among a smaller number of our competitors. For example, in May 2025, Alumis Inc. and ACELYRIN, INC. completed a merger transaction and the combined company is advancing a subcutaneously delivered anti-IGF-1R antibody for the treatment of TED.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raising capital, patient registration for clinical trials, establishing and defending rights to intellectual property, as well as in acquiring technologies complementary to, or necessary for,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competitors have developed or are developing, and may in the future develop, product candidates or products competitive with our product candidates. Competitive therapeutic treatments include those that have already been approved and accepted by the medical community and any potential new treatments, including those currently under clinical development.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our competitors develop competing products or biosimilars that enter the market more quickly than we do and are able to gain market acceptance. Conversely, the lack of commercial success of other competing therapies may raise concerns about the financial viability of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because of the competitive landscape for thyroid autoimmune diseases, including GD and TED, we may also face competition for establishing trial sites and clinical trial enrollment. Patient enrollment will depend on many factors, including if potential clinical trial patients choose to undergo treatment with approved products or enroll in competitors’ ongoing clinical trials for product candidates that are under development for the same indications as our product candidates. An increase in the number of approved products for the indications we are targeting with our product candidates will likely further exacerbate this competition. Our inability to enroll a sufficient number of patients could, among other impacts, delay our development timeline, which may further harm our competitive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YB-101 is in the clinical stages of development. YB-101 and our future product candidates may fail in development or suffer delays that materially and adversely affect our viability. If we or our current or future collaborators are unable to complete development of or commercialize our product candidates, or experience significant delays in doing so, our business will be materially harmed.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 commercially approved products. YB-101 is in the clinical stages of development, and we have not completed any clinical trials. As a result, we expect it will be many years before we commercialize any product candidate, if ever.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We have not yet demonstrated our ability to complete any clinical trials, obtain regulatory approvals, manufacture a commercial-scale product or arrange for a third party to do so on our behalf, or conduct sales and marketing activities necessary for successful product commercialization. Before obtaining regulatory approval for the commercial distribution of any product candidate, we or an existing or future collaborator must conduct extensive preclinical tests and clinical trials to demonstrate the safety and efficacy in humans of the product candidate.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or our collaborators may experience delays in initiating or completing preclinical studies or clinical trials. We or our collaborators also may experience numerous unforeseen events during, or as a result of, any future preclinical studies or clinical trials that we could conduct that could delay or prevent our ability to receive regulatory approval or commercialize our product candidates,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regulators, such as the FDA, IRBs or comparable foreign regulatory authorities may not authorize us or our investigators to commence a clinical trial or conduct a clinical trial at a prospective trial site;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clinical trial sites may deviate from the trial protocol, fail to conduct trials in a compliant manner or drop out of a trial, which may require that we add new clinical trial sites or investigators or otherwise negatively impact the timing or integrity of our clinical trial(s);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clinical trials of any product candidates may fail to show safety or efficacy, or may produce negative or inconclusive results and we may decide, or regulators may require us, to conduct additional preclinical studies or clinical trials or we may decide to abandon a product candidate;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third-party contractors may fail to comply with regulatory requirements or meet their contractual obligations to us in a timely manner, or at all, or may deviate from the clinical trial protocol or suffer other quality or performance issues that negatively impact the timing or integrity of our clinical trial(s);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elect to, or regulators, IRBs or ethics committees may require that we or our investigators, suspend or terminate clinical research or trials for various reasons, including noncompliance with regulatory requirements or a finding that the participants in our clinical trials are being exposed to unacceptable health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 of clinical trials of any of our product candidates may be greater than we anticipate;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quality of our product candidates or other materials necessary to conduct clinical trials of our product candidates may be inadequate to initiate or successfully complete a given clinical trial;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manufacture sufficient quantities of our product candidates for use in clinical trials;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reports from clinical testing of other therapies may raise safety or efficacy concerns about our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fail to establish an appropriate safety profile for a product candidate based on clinical or preclinical data for such product candidates as well as data emerging from other therapies in the same class as our product candidates;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FDA or other regulatory authorities may require us to submit additional data, such as long-term toxicology studies, or impose other requirements before permitting us to initiate a clinical trial.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Commencing clinical trials in the United States is subject to acceptance by the FDA of an IND and finalizing the trial design based on discussions with the FDA. Commencing clinical trials in jurisdictions outside of the United States is similarly subject to acceptance by the applicable regulatory authority of clinical trial documentation following discussions with such authority. In the event that the FDA or other applicable regulatory authority requires us to complete additional preclinical studies or we are required to satisfy other FDA or foreign regulatory authority requests, respectively, prior to commencing clinical trials, the start of our first clinical trial for a product candidate may be delayed. Even after we receive and incorporate guidance from these regulatory authorities, the FDA or other regulatory authorities could disagree as to whether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analogous processes and risks applicable to clinical trial applications in other countries.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not have the financial resources to continue development of our product candidates if we experience any issues that delay or prevent regulatory approval of, or our ability to commercialize, our product candidates. We or our current or future collaborators’ inability to complete development of or commercialize our product candidates, or significant delays in doing so, could have a material and adverse effect on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We are substantially dependent on the success of YB-101, and our</w:t>
      </w:r>
      <w:r>
        <w:rPr>
          <w:color w:val="000000"/>
        </w:rPr>
        <w:t xml:space="preserve"> </w:t>
      </w:r>
      <w:r>
        <w:rPr>
          <w:rFonts w:ascii="Times New Roman;serif" w:hAnsi="Times New Roman;serif"/>
          <w:b/>
          <w:i/>
          <w:color w:val="000000"/>
          <w:sz w:val="20"/>
        </w:rPr>
        <w:t>anticipated future clinical trials of such product candidate may not be successful.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success is substantially dependent on our ability to timely obtain regulatory approval for, and then successfully commercialize, YB-101. We are initially investing a majority of our efforts and financial resources into the research and development of this product candidate. We initiated a combined Phase 2a/Phase 2b trial of YB-101 in adult patients with GD who are well-controlled on oral anti-thyroid drugs (“ATDs”) in July 2026 and are exploring a clinical development plan for YB-101 in adult patients with TED in the United States and other territories outside of China. The success of YB-101 is dependent on observing YB-101 blocking the pathogenic activity of thyroid-stimulating autoantibodies that drive disease progression in GD and TED with an improved safety and tolerability profile compared to the current standard of care. To the extent we do not observe this blocking of pathogenic activity of thyroid-stimulating autoantibodies or improved safety, efficacy, pharmacokinetic and pharmacodynamic properties in our Phase 2a/Phase 2b clinical trial of YB-101 or in additional clinical trials, it would significantly and adversely affect the clinical and commercial potential of YB-101.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 candidates will require additional clinical development, evaluation of clinical, preclinical and manufacturing activities, regulatory approval in multiple jurisdictions, substantial investment and significant marketing efforts before we generate any revenues from product sales. We are not permitted to market or promote these product candidates, or any other product candidates, before we receive regulatory approval from the FDA and comparable foreign regulatory authorities, and we may never receive such regulatory approvals.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potential threats from the intellectual property rights of third parties and the manufacturing, marketing, distribution and sales efforts of any current or future collaborator. Accordingly, we cannot assure you that we will ever be able to generate revenue through the sale of these product candidates, even if approved. If we are not successful in obtaining regulatory approval and commercializing YB-101 or future product candidates, or are significantly delayed in doing so, our business will be materially harmed.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If we do not achieve our</w:t>
      </w:r>
      <w:r>
        <w:rPr>
          <w:color w:val="000000"/>
        </w:rPr>
        <w:t xml:space="preserve"> </w:t>
      </w:r>
      <w:r>
        <w:rPr>
          <w:rFonts w:ascii="Times New Roman;serif" w:hAnsi="Times New Roman;serif"/>
          <w:b/>
          <w:i/>
          <w:color w:val="000000"/>
          <w:sz w:val="20"/>
        </w:rPr>
        <w:t>projected development objectives in the timeframes we announce and expect, the commercialization of our product candidates may be delayed, which may harm our reputation and prospects, increase our expenses and cause our stock price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timing for receipt of clinical data from our clinical trials of YB-101 and the timing for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many cases for reasons beyond our control. If we do not meet these milestones as publicly announced, or at all, our prospects and reputation may be adversely affected and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projections regarding the market opportunities for our product candidates may not be accurate, and the actual market for our products may be smaller than we estimate.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us. Further, new trials may change the estimated incidence or prevalence of these diseases. The total addressable market across all of our product candidates will ultimately depend upon, among other things, the diagnosis criteria included in the final labeling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to initially seek regulatory approval of YB-101 as treatment for patients with GD and are exploring a clinical development plan for patients with TED. The number of patients in the United States and other major markets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We may also be unable to penetrate the existing GD and TED markets and successfully commercialize our product candidates, even if approved. Further, even if we obtain significant market share for our product candidates, because some of our potential target populations are very small, we may never achieve profitability despite obtaining such significant market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market for GD and TED therapies may fail to continue its growth, or may shrink, which could affect the commercial viability of our product candidates and could negatively impact revenues from any approved products. For example, sales of TEPEZZA® may fall, and this could cause our business to be negatively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Clinical development involves a lengthy and expensive process that is subject to delays and with uncertain outcomes, and results of earlier studies and trials may not be predictive of future clinical trial results. If our clinical trials and any future preclinical studies are not sufficient to support regulatory approval of any of our product candidates, we may incur additional costs or experience delays in completing, or ultimately be unable to complete, the development of such product candidate.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Before obtaining regulatory approval from regulatory authorities for the sale of any product candidate, we must conduct extensive clinical trials to demonstrate the safety and efficacy of our product candidate in humans. Our clinical trials may not be conducted as planned or completed on schedule, if at all, and failure of one or more clinical trials can occur at any time during the preclinical study or clinical trial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cannot be sure that the FDA or comparable foreign regulatory authorities will agree with our clinical development plans. If the FDA or comparable foreign regulatory authorities require us to conduct additional trials or enroll additional patients, our development timelines may be delayed. We cannot be sure that submission of an IND or similar foreign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in vivo or in vitro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or positive ethics committee opinions at each clinical trial site;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good clinical practice (“GCP”) requirements or regulatory guidelines; changes to the clinical trial protocols; clinical sites deviating from trial protocol or dropping out of a trial; changes in regulatory requirements, guidance or clinical trial plans that require amending or submitting new clinical protocols; selection of clinical endpoints that require prolonged periods of observation or analyses of resulting data; transfer of manufacturing processes to new or larger-scale facilities and delays or failure by our CMOs or us to make any necessary changes to such manufacturing process; and third parties being unwilling or unable to satisfy their contractual obligations to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could also encounter delays if a clinical trial is suspended or terminated by us, by the IRBs or ethics committees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product candidate,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would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find it difficult to enroll and maintain patients in our clinical trials, in part due to the limited number of patients and significant competition for patients who have the diseases for which YB-101 is being developed. If we encounter difficulties enrolling patients in our expected clinical trial of YB-101 or other future clinical trials, our clinical development activities could be delayed or otherwise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trial until its conclusion. In particular, because we are initially focused on developing product candidates for indications for which there is significant competition for recruiting patients, we may encounter challenges for patient enrollment when we commence clinical trials for our product candidates. Further, ATDs are the current treatment option for the treatment of GD, TEPEZZA® is approved for the treatment of TED, and additional products may gain approval in the future, and patients may decide, or physicians may recommend, to use such approved treatments instead of enrolling in clinical trials.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enrollment of patients in future trials for any of our product candidates will depend on many factors,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size and nature of the patient population;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severity of the disease under investigation;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availability and efficacy of approved drugs for the disease under investigation;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patient eligibility and exclusion criteria for the trial in question;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patients’ and clinicians’ perceived risks and benefits of the product candidate under study;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patients choose to enroll in clinical trials, rather than using approved products, or if our competitors have ongoing clinical trials for product candidates that are under development for the same indications as our product candidates, and patients instead enroll in such clinical trials;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efforts to facilitate timely enrollment in clinical trials;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patient referral practices of physicians;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monitor patients adequately during and after treatment;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proximity and availability of clinical trial sites for prospective patients;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continued enrollment of prospective patients by clinical trial sites.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number of patients required for clinical trials of our product candidates may be larger than we anticipate. Even if we are able to enroll a sufficient number of patients for our future clinical trials, we may have difficulty maintaining patients in our clinical trials. Our inability to enroll or maintain a sufficient number of patients would result in significant delays in completing clinical trials or receipt of regulatory approvals and increased development costs or may require us to abandon one or more clinical trials altogether, which could cause our value to decline, limit our ability to obtain additional financing and otherwise harm our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Preliminary, “topline” or interim data from our clinical trials that we announce or publish from time to time may change as more patient data become available and are subject to audit and verification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publicly disclose preliminary or topline data from our future preclinical studies and clinical trials, which are based on a preliminary analysis of then-available data.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preliminary or topline data should be viewed with caution until the final data are available. From time to time, we may also disclose interim data from our future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authorities,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of us as a company.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As a result, you or others may have reached different conclusions based on such extensive information in comparison to our publicly disclosed conclusion regarding a particular preclinical study or clinical trial.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future clinical trials or those of our current or future collaborators may reveal significant adverse events or undesirable side effects not observed in previously conducted preclinical studies or clinical trials and may result in a safety profile that could halt clinical development, inhibit regulatory approval or limit commercial potential or market acceptance of any of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Results of our clinical trials could reveal a high or unacceptable severity and prevalence of side effects, adverse events or unexpected characteristics. We have not yet completed any clinical trials in humans. If significant adverse events or other side effects are observed in any of our future clinical trials, we may have difficulty recruiting patients to such trials, patients may drop out of our trials, or we may be required to abandon the trials or our development efforts of one or more product candidates altogether. For example, although YB-101 is not expected to be associated with the hepatotoxicity or agranulocytosis risks known to occur with ATDs based on GenSci’s preclinical studies, it is possible that patients in our future clinical trials could exhibit the same or similar adverse events. In another example, hearing impairment observed in TEPEZZA®, or other negative side effects of other products in development for the treatment of TED, may negatively affect clinical trials for our product candidates, delay regulatory approval or result in a restricted drug label, if approved. We, the FDA or other applicable regulatory authorities, or an IRB or ethics committee, may suspend any clinical trials of any product candidate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product candidate from obtaining or maintaining regulatory approval, undesirable side effects may inhibit market acceptance of the approved product due to its tolerability versus other therapies. Treatment-emergent adverse events could also affect patient recruitment or the ability of enrolled subjects to complete our clinical trials or could result in potential product liability claims.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 Any of these occurrences could harm our business, financial condition, results of operations and prospects significantly.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even if we successfully advance our product candidates or any future product candidate through clinical trials, such trials will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after approval. Further, any clinical trials may not be sufficient to determine the effect and safety consequences of using our product candidates over a multi-year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any of the foregoing events occur or if one or more of our product candidates prove to be unsafe, our entire pipeline could be affected, any of which would have a material adverse effect on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expend our limited resources to pursue a particular product candidate and fail to capitalize on product candidates that may be more profitable or for which there is a greater likelihood of success.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are focusing our research and development efforts on our lead product candidate, YB-101.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In addition, we may select product candidates amongst a variety of potential product candidates, and the product candidates we select may fail to be viable commercial products or the product candidates we do not select may have a greater likelihood of success.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Even if YB-101 or any future product candidates are approved, such products may not achieve adequate market acceptance among clinicians, patients, healthcare third-party payors and others in the medical community necessary for commercial success and we may not generate any future revenue from the sale or licensing of such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 if regulatory approval is obtained for YB-101 or one of our future product candidates, we may not gain market acceptance among physicians, healthcare professionals, patients, healthcare payors or the medical community. We may not generate or sustain revenue from sales of the product due to factors such as whether the product can be sold at a competitive cost and whether it will otherwise be accepted in the market. Market acceptance will depend on many factors, including factors that are not within our control. There are product candidates in the later stages of development for the treatment of GD, including Vyvgart®, IMVT-1402 and BHV-1300. TEPEZZA® was recently approved for TED, and there are multiple product candidates in later stages of development, for the treatment of TED, including Veligrotug, VRDN-003, Batoclimab and pacibekitug. However, YB-101 is designed to block the pathogenic activity of thyroid-stimulating autoantibodies that drive disease progression in GD and TED; to date, no such therapy that inhibits the biological pathway responsible for both hyperthyroidism and orbitopathy while avoiding systemic immunosuppression has been approved by the FDA for the treatment of both GD and TED, though several such agents are in advanced clinical development and close to approval. Market participants with significant influence over acceptance of new treatments, such as clinicians and third-party payors, may not adopt a biologic that incorporates TSHR targeting antibodies for our targeted indication, and we may not be able to convince the medical community and third-party payors to accept and use, or to provide favorable reimbursement for, any product candidates developed by us or our existing or future collaborators. Market acceptance of our product candidates may be negatively impacted by potential poor performance of our competitors, including the occurrence of serious adverse events in such competitors’ clinical trials or failure by such competitors to obtain and maintain regulatory approval for their product candidates. Additionally, although we believe that the improved dosing and convenience we expect our product candidates to provide will improve market acceptance of such product candidates and that our candidates will have a competitive efficacy profile, our predictions may not be accurate and other competitive products may instead gain and hold the applicable market. 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current or future product candidate is approved but does not achieve an adequate level of acceptance by such parties, we may not generate or derive sufficient revenue from that product candidate and may not become or remain profitable.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plan to conduct clinical trials for product candidates at sites outside the United States, and the FDA may not accept data from trials conducted in such 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conduct our Phase 2a/2b clinical trial of YB-101 for the treatment of GD in the United States and other territories outside of China, and we may choose to conduct one or more of our future clinical trials outside the United States in whole or in part.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their determination that the trials also complied with all applicable U.S. laws and regulations.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our development of the applicable product candidates or delay or prevent regulatory approval for commercialization in the applicable jurisdiction. Even if the FDA or any comparable foreign regulatory authority accepted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such data, it could require us to modify our planned clinical trials to receive clearance to initiate such trials in the United States or the relevant jurisdiction, as applicable, or to continue such trials once initiated.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collaborations and licensing arrangements with third parties, including GenSci. If we are unable to maintain these collaborations or licensing arrangements, or if these collaborations or licensing arrangements are not successful, our business could be negatively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on our collaboration with a third party, GenSci, for the rights necessary to develop and commercialize YB-101 outside of China. In the future, we could also rely on additional licensing arrangements with third parties. For example, we have entered into the GenSci License Agreement. However, GenSci could terminate the GenSci License Agreement under certain circumstances, including our failure to make any payments owed to GenSci under the agreement or any uncured material breach of the agreement by us, in which event we may lose our intellectual property rights and may not be able to develop or commercialize YB-101.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their obligations under their agreement with us, or disagrees with our interpretation of the terms of such agreement or terminates their agreement with us, our pipeline and product candidates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our intellectual property rights and may not be able to develop, manufacture, market or sell the products covered by the agreements or may face other penalties under the agreements. Our collaborators and licensors may also fail to properly maintain or defend the intellectual property we have licensed from them, if required by our agreement with them, leading to the potential invalidation of our intellectual property, or they may even infringe upon our intellectual property rights, any of which could subject us to litigation or arbitration, which would be time-consuming and expensive and could harm our ability to commercialize our product candidates. In addition, 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strategy, we plan to evaluate additional opportunities to enhance our capabilities and expand our development pipeline or add development or commercialization capabilities. We may not successfully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may be unwilling to assign or license rights to us, whether they perceive us to be a competitor or for other reasons. Whether we reach a definitive agreement for a collaboration will depend, among other things, upon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Risks associated with the in-licensing or acquisition of product candidates could cause substantial delays in the preclinical and clinical development of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relied and continue to rely on GenSci, and expect to rely on our future licensing partners, to (i) conduct research and development in accordance with the applicable protocol, legal, regulatory and scientific standards, (ii) accurately report the results of all preclinical and clinical trials conducted prior to our licensing or acquisition of the relevant product candidates and (iii) correctly collect and interpret the data from these trials. If the research and development processes or the results of the product candidates development prior to our licensing or acquisition of our product candidates prove to be unreliable, this could result in increased costs and delays in the development of our product candidates, which could adversely affect any future revenue from such product candidates, if approved.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they are ever commenced or completed, and our ability to generate revenues from our product candidates may be delayed. Please see the section titled “Risk Factors—Risks Related to Our Intellectual Property—If we are unable to obtain or maintain necessary rights to YB-101 or our future product candidates through acquisitions and in-licenses, our business may be materially harmed” below for additional information regarding such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currently rely, and plan to continue to rely, on third parties to conduct and support our future preclinical studies and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plan to utilize and depend upon independent investigators and collaborators, such as medical institutions, CROs, contract testing labs and strategic partners, to conduct and support our anticipated clinical trials and future preclinical studies. We will rely heavily on these third parties over the course of our future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relied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which are regulations and guidelines enforced by the FDA and comparable foreign regulatory authorities for all of our product candidates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In addition, our clinical trials must be conducted with products manufactured in accordance with cGMP. Our failure to comply with these requirements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and foreign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third parties conducting our clinical trials will not be our employees and, except for remedies available to us under our agreements with such third parties, we cannot control whether they will devote sufficient time and resources to our future product candidates. These third parties may encounter challenges hiring and retaining sufficiently qualified personnel or they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In addition, we rely on GenSci and expect to continue to rely on foreign CROs and CMOs for formulation and manufacturing of our Phase 2a/2b clinical trial materials, and will likely continue to rely on foreign CROs and CMOs in the future.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In addition, the United States government has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Evolving changes in China’s public health, economic, political, and social conditions and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of YB-101 or our future product candidates. Furthermore, if one or more of our collaborators or vendors in China is named a biotechnology company of concern under the BIOSECURE Act, which was enacted into law on December 18, 2025,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a geopolitical instability affecting our collaborators in China could introduce delays into the development of YB-101 or our future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the use of third-party CMOs to manufacture our product candidates, and we expect to continue to rely on third-party CMOs to produce our products, if approved. Our business could be adversely affected if we are unable to use third-party manufacturing sites or if the third-party manufacturers encounter difficulties in production.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currently own any facility that may be used as our clinical-scale manufacturing and processing facility and must rely on CMOs to manufacture our product candidates. We have not yet caused our product candidates to be manufactured on a commercial scale and may not be able to do so for any of our product candidates, if approved. We currently solely rely on GenSci to provide biological development and manufacturing services. If there is any disruption in such supply arrangement, including any adverse events affecting our sole supplier, or if we experience delays or difficulties in transferring, or are unable to successfully transfer, our manufacturing processes, it could have a negative effect on the clinical development of our product candidates and other operations while we work to identify and qualify an alternate supply source. We have limited control over the manufacturing process of, and may be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another applicable regulatory authority does not approve these facilities for the manufacturing of our product candidates or withdraws any approval in the future, we may need to find alternative manufacturing facilities, which would require the incurrence of significant additional costs and delays, and materially and adversely affect our ability to develop, obtain regulatory approval for or market our product candidates, if approved. We, our future contract manufacturers or any current or future collaborators and their contract manufacturers could be subject to periodic unannounced inspections by the FDA, competent authorities of member states of the European Union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CMOs, to comply with applicable regulations could result in sanctions being imposed on us, including fines, injunctions, civil penalties, delays, suspension, variation or withdrawal of approvals, license revocation, seizures or recalls of product candidates or drugs, operating restrictions and criminal prosecutions, any of which could significantly and adversely affect supplies of our product candidates or products, if approved, and harm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Moreover, our CMOs may experience manufacturing difficulties due to resource constraints, supply chain issues, intellectual property disputes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commercially reasonable cost,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and adversely affected by business disruptions to our third-party providers that could materially and adversely affect our anticipated timelines, potential future revenue and financial condition and increase our costs and expenses. Each of these risks could delay or prevent the completion of our anticipated clinical trials and future preclinical studies or the approval of any of our product candidates by the FDA or comparable foreign regulatory authorities, result in higher costs or adversely impact commercialization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 order to successfully implement our plans and strategies, we will need to grow the size of our organization and we may experience difficulties in managing this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experience significant growth in the number of our employees and the scope of our operations, particularly in the areas of clinical drug development, technical operations, clinical operations and regulatory affairs.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compete in the highly competitive biotechnology and pharmaceutical industries depends upon our ability to attract and retain highly qualified managerial, scientific and medical personnel. We are highly dependent on our managerial, scientific and medical personnel, including our Chief Executive Officer and other key members of our leadership team. Although we have entered into employment agreements with our executive officers, each of them may terminate their employment with us at any time. We do not maintain “key person” insurance for any of our executives or other employees.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If we do not succeed in attracting and retaining qualified personnel, it could materially and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future growth may depend, in part, on our ability to operate in foreign markets, where we would be subject to additional regulatory burdens and other risks and uncertainties.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growth may depend, in part, on our ability to develop and commercialize our product candidates, if approved, in foreign markets for which we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early April 2026, the U.S. Administration issued a proclamation under Section 232 of the Trade Expansion Act of 1962 determining that imports of certain pharmaceutical products, including patented pharmaceuticals, associated active pharmaceutical ingredients and related materials could threaten U.S. national security and authorized the imposition of tariffs of up to 100% on covered imports, beginning July 31, 2026 (the “Pharmaceutical Tariffs”). Imports of certain listed products from specific partner countries, including South Korea and the European Union, may be subject to reduced tariff rates. Certain tariff exemptions or zero-rate treatment may be available for products where all approved indications are designated as orphan, subject to applicable determinations, conditions and implementation guidance. There remains substantial uncertainty as to the implementation and potential impacts of such tariffs, the duration of existing tariffs, tariff levels, and whether additional tariffs or other retaliatory actions may be imposed, modified or suspended. For example, the U.S. Supreme Court ruled in February 2026 that certain tariffs imposed by the U.S. federal government under the International Emergency Economic Powers Act exceeded presidential authority and therefore are invalid. However, tariffs imposed under different statutes (including the Pharmaceutical Tariffs, if implemented) were not directly impacted by the decision and therefore remain in place. These actions and the related rising political tensions could negatively impact global macroeconomic conditions and the stability of global financial markets, which could have a material adverse effect on our business, financial condition and results of operations, including through increased supply chain costs. In addition, U.S. legislative and regulatory measures directed at foreign biotechnology providers, including the BIOSECURE Act, could further limit our ability to work with collaborators and vendors located outside the United States, including GenSci, on which we currently rely solely for biological development and manufacturing services, as described further under "Risks Related to Our Reliance on Third Parties" above.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not permitted to market or promote any of our product candidates before we receive regulatory approval from the applicable foreign regulatory authority,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if approved, and we cannot predict success in these jurisdictions. If we fail to comply with the regulatory requirements in international markets and do not receive applicable regulatory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collaborators, principal investigators, CROs, CMOs, suppliers and vendors may engage in misconduct or other improper activities, including noncompliance with regulatory standards and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consultants, commercial collaborators, principal investigators, CROs, CMOs, suppliers and vendors acting for or on our behalf may engage in misconduct or other improper activities. Misconduct by these parties could include intentional, reckless 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internal information technology systems, or those of any of our CROs, manufacturers, other contractors or consultants, third party service providers, or existing or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 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Some actors currently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Further, our insurance policies may not adequately compensate us for the potential losses arising from any such disruption in, or failure or security breach of, our systems or third-party systems where information important to our business operations or commercial development is stored.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hybrid workforce may create additional risks for our information technology systems and data because some of our employees work remotely and utilize network connections, computers, and devices working at home, while in transit and in public locations. In addition, our current office in New Haven may create risks for our information technology systems and data because it is a shared space for which we do not have our own dedicated network.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our third-party partners’ supply chains have not been compromised.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or a third party upon whom we rely, experience a security incident or are perceived to have experienced a security incident, we may experience adverse consequences, such as government enforcement actions such as investigations, fines, penalties, audits, and inspections; additional reporting requirements and/or oversight; restrictions on Processing Sensitive Information; litigation, including class claims; indemnification obligations; negative publicity; reputational harm; monetary fund diversions; interruptions in our operations, including availability of our data; financial loss and other similar harms. Security incidents and attendant consequences may cause stakeholders, including investors and potential customers to stop supporting our product candidates, deter new customers from products and negatively impact our ability to grow and operate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contracts with third-party service providers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In addition, we are and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fines and penalties, result in reputational harm, lead to a loss of customers, result in litigation and liability and otherwise cause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subject to adverse legislative or regulatory tax changes that could negatively impact our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rules governing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example, the United States enacted the Inflation Reduction Act of 2022, which implemented, among other changes, a 1% excise tax on certain stock buybacks. In addition, beginning in 2022, the Tax Cuts and Jobs Act (the “TCJA”) eliminated the previously available option to deduct research and development expenditures and requires taxpayers to amortize them generally over five years for research activities conducted in the United States and over fifteen years for research activities conducted outside the United States. On July 4, 2025, the U.S. Congress enacted the One Big Beautiful Bill Act, which includes a provision restoring the immediate deductibility of domestic research and development expenditures. The impact of this newly enacted law on our tax position will depend on how the provision is implemented and interpreted by the IRS and other regulatory authorities. In addition, we have no assurance as to whether, when and how this provision may be subject to further amendment or repeal. Such changes, among others, may adversely affect our effective tax rate, results of operation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acquire businesses, product candidates or products, or form strategic alliances in the future, and may not realize the benefits of such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of enhancing our business. There is no assurance that, following any such acquisition, we will achieve the synergies expected in order to justify the transaction, which could result in a material adverse effect on our business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held in non-interest-bearing and interest-bearing accounts exceeds the FDIC insurance limits. If such banking institutions were to fail, we could lose all or a portion of those amounts held in excess of such insurance limitations. For example, the FDIC took control of Silicon Valley Bank in March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intellectual property portfolio is at an early stage. We do not currently own any issued patents or pending non-provisional patent applications and we in-license intellectual property rights to YB-101 from GenSci. Therefore, our ability to obtain and protect our patent rights, and protect other proprietary rights, is uncertain, exposing us to the possible loss of competitive advantage.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and will continue to rely upon a combination of patents, trademarks, trade secret protection, copyrights and confidentiality agreements and the GenSci License Agreement to protect the intellectual property related to YB-101 and technologies and to prevent third parties from competing unfairly with us. Our success depends in large part on our ability to obtain and maintain patent protection for our product candidates and their uses, as well as our ability to operate without infringing on or violating the proprietary rights of others. If we are unable to obtain patent protection with respect to YB-101, or any future product candidates, our business, financial condition, results of operations and prospects could be materially harmed.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currently own or in-license any issued patents, but have filed one U.S. provisional patent application related to methods of treating GD with YB-101. We intend to file one or more non-provisional patent applications claiming priority to this provisional patent application. However, we cannot provide assurances that such non-provisional patent application(s) will be filed, nor whether such non-provisional patent application(s), if filed, will issue, the breadth of any resulting issued patent(s), or whether any issued patent(s) will be found to be invalid, unenforceable, or will be challenged by third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license patent rights to three patent families from GenSci under the GenSci License Agreement. The three patent families include only pending patent applications, and no issued patents. The licensed patent families are directed to monoclonal antibodies targeting the TSHR, including YB-101, methods of treatment with YB-101 and formulations of YB-101. The licensed monoclonal antibodies patent applications are pending national-stage patent applications currently undergoing patent prosecution. We cannot provide assurances that these pending national-stage patent applications will issue, the breadth of any resulting issued patents or whether any issued patents will be found to be invalid, unenforceable or will be challenged by third parties. Both the licensed method of treatment and formulations patent families are pending Patent Cooperation Treaty (“PCT”) applications. We intend to file one or more national stage patent applications from each PCT application. However, we cannot provide assurances that such national stage patent application(s) will be filed, nor whether such patent application(s), if filed, will issue, the breadth of any resulting issued patent(s) or whether any issued patent(s) will be found to be invalid, unenforceable or will be challenged by third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current patent portfolio is limited to owned or licensed pending patent applications. Our owned or currently licensed, or future optioned, in-licensed or owned patent applications may not result in patents being issued. Any issued patents may not afford sufficient protection of our product candidates or their intended uses against competitors, nor can there be any assurance that the patents issued will not be infringed, designed around, or invalidated by third parties, or effectively prevent others from commercializing competitive technologies, products or product candidates. Even if these patents are granted, they may be difficult to enforce. Further, any issued patents that we may license or own covering our product candidates could be narrowed or found invalid or unenforceable if challenged in court or before administrative bodies in the United States or abroad, including the USPTO. If we do not obtain patent coverage for the work we are conducting, or if we obtain such rights but they are invalidated or rendered unenforceable, we may be unable to exclude competitors from pursuing and marketing the same or similar product candidates. Other risks we face if we are not able to obtain and maintain patent coverage for our product candidates are the reduction in valuation of our product candidates, and ultimately of us as a company, by potential investors, and our inability to assert claims for infringement against third parties or counterclaim against such third parties or negotiate more advantageous settlement parameters. Further, if we encounter delays in our clinical trials or delays in obtaining regulatory approval, the period of time during which we could market our product candidates under patent protection would be reduced. Thus, the patents that we may own or license may not afford us any meaningful exclusivity period or competitive advantage.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obtain or protect our intellectual property rights throughout the world and the legal systems in certain countries may not favor enforcement or protection of at least certain patents, trade secrets or other intellectual property. Filing, prosecuting, maintaining and defending patents on product candidates and other related inventions worldwide would be expensive and our intellectual property rights in some foreign jurisdictions can be less extensive than those in the United States; the reverse may also occur. For example, we in-license from GenSci patent applications in the following foreign jurisdictions: Australia, United Arab Emirates, Canada, European Patent Organization, Japan, Korea, Russia, Qatar and Saudi Arabia. Government actions in certain jurisdictions, including those in which we have licensed patent rights, may allow exploitation of intellectual property without the patent owner’s consent. For example, government decrees may allow third parties to exploit patented inventions without authorization, effectively eliminating patent protection in those territories. These actions could result in abandonment or lapse of future patents in the affected jurisdictions. Geopolitical actions in the United States and in foreign countries could increase the uncertainties and costs surrounding the prosecution or maintenance of future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applications and the maintenance, enforcement or defense of any future issued patents. As such, we may not have patents in all countries or all major markets and may not be able to obtain patents in all jurisdictions even if we or our licensor files patent applications to obtain such rights. Our competitors may operate in countries where we do not have patent protection and may be able to freely use our technologies and discoveries in such countries, at least to the extent not forbidden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 candidates,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reasonable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Lastly, if our trademarks and trade names are not registered or adequately protected, then we may not be able to build name recognition in our markets of interest and our business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are unable to obtain or maintain necessary rights to YB-101 or our future product candidates through acquisitions and in-licenses, our business may be materially harmed.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YB-101 currently does, and our product candidates may also in the future, require the use of proprietary rights held by third parties, the growth of our business will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intellectual property rights we obtain in the future, we may have to abandon development of our product candidates, which could have a material adverse effect on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have the right to control prosecution, defense, maintenance and enforcement of patents in-licensed under the GenSci License Agreement once the trigger for transfer of prosecution control is met, there may be times when rights for patents and patent applications relating to our product candidates are controlled by our future licensors or collaboration partners. If we, GenSci or any of our future licensors or collaboration partners fail to prosecute, defend, maintain and enforce such patents and patent applications in a manner consistent with our best interests,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if we have the right to control prosecution of patents and patent applications we have licensed to and from third parties, including under the GenSci License Agreement following the point at which such control is assumed, we may still be adversely affected or prejudiced by actions or inactions of GenSci, additional licensees, or licensors and their counsel prior to the date upon which we assume control over patent prosecution. For example, prior to entering into the GenSci License Agreement, GenSci was responsible for the prosecution, defense, maintenance and enforcement of patents related to YB-101. Subsequent to entering into such license agreement, subject to certain exceptions, we control patent prosecution over YB-101 following the trigger for transfer of prosecution control to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licensors may not be the sole and exclusive owners of all rights in the patents we may in-license. If other third parties have rights to our future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product candidates, manufacturing methods or future products or methods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Disputes may arise between us and our future licensors regarding intellectual property subject to a license agreement, including, but not limited to: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 If we or our future licensors breach the terms of our license agreements, such breach may have a material adverse effect on our business and the commercialization efforts for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subject to intellectual property lawsuits or may need to file lawsuits to protect our intellectual property, which could result in substantial costs and liability and prevent us from commercializing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the intellectual property landscape in the biotechnology industry is rapidly evolving and interdisciplinary, it is difficult to conclusively assess our freedom to operate and guarantee that we can operate without infringing on or violating third-party rights. If certain of our product candidates are ultimately granted regulatory approval, patent rights held by third parties could be alleged to render one or more of our product candidates infringing. If a third party successfully brings a claim against us, and our rights are not held invalid or unenforceable, we may be required to pay substantial damages, be forced to abandon any affected product candidate and/or seek a license from the patent holder. In addition, any intellectual property claims (e.g., patent infringement or trade secret misappropriation) brought against us, whether or not successful, may cause us to incur significant legal expenses and divert the attention of our management and key personnel from other business concerns. We cannot be certain that future patents, if filed and issued, owned or licensed by us will not be challenged by others, whether in the course of litigation or in agencies like the USPTO.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Competitors may infringe or otherwise violate our future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infringed their patents or other intellectual property rights. In addition, in a patent infringement proceeding, a court or administrative body may decide that one or more of our future patents, if obtained and asserted,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trademarks we have asserted are invalid or unenforceable or that the party against whom we have asserted trademark infringement has superior rights to the trademarks in question. In such a case, we could ultimately be forced to cease use of such trademarks. In any intellectual property litigation, even if we are successful, any award of monetary damages or other remedy we receive may not be commercially valuable.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we may be required to protect our future patents, if filed and issued,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if our product candidates are found to infringe the intellectual property rights of third parties, these third parties may assert infringement claims against our future licensees or third-party servicers and other parties with whom we have business relationships and we may be required to indemnify those parties for any damages they suffer as a result of these claims, which may require us to initiate or defend protracted and costly litigation on behalf of licensees or other parties regardless of the merits of such claims. If any of these claims succeed, we may be forced to pay damages on behalf of those parties or may be required to obtain licenses for the products we 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success will depend in part on our current and future licensors’ ability to obtain, maintain and enforce patent protection for our owned and licensed 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our current and future licensors’ (including GenSci’s) ability to obtain, maintain and enforce patent protection for our owned and licensed intellectual property. We may not successfully prosecute our current or future patent applications that cover our product candidates. Even if patents are issued that are owned by us, we may fail to maintain these patents, or may determine not to pursue litigation against other companies that are infringing these patents. After entry into the GenSci License Agreement, and once the trigger for transfer of prosecution control is met, we control the prosecution, maintenance, enforcement and defense of licensed patent rights regarding YB-101. Prior to entering into the GenSci License Agreement, GenSci held such rights. We, GenSci and our future licensors may not successfully prosecute the licensed patent applications that cover our product candidates. Even if patents are issued in respect of these patent applications, we and our future licensors (including GenSci) may fail to maintain these patents, may determine not to pursue litigation against other companies that are infringing these patents or may pursue such litigation less aggressively than we would. Without protection for any owned or in-licensed intellectual property, other companies might be able to offer substantially identical products for sale, which could adversely affect our competitive business position and harm our business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subject to claims that we have wrongfully hired an employee from a competitor or that our employees, consultants or independent contractors have wrongfully used or disclosed confidential information of third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is common in the biotechnology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may litigate to defend against these claims, even if we are successful, litigation could result in substantial costs and could be a distraction to management and other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to patent laws in the United States and other jurisdictions could diminish the value of patents in general, thereby impairing our ability to protect our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patent applications, if issued. The Leahy- Smith Act included a number of significant changes to United States patent law such as provisions that affected the way patent applications are prosecuted, redefined prior art, provided more efficient and cost-effective avenues for competitors to challenge the validity of patents, and enabled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would be entitled to the patent on an invention regardless of whether a third party was the first to invent the claimed invention. As such, the Leahy-Smith Act and its implementation increased the uncertainties and costs surrounding the prosecution of our owned and licensed patent applications and the enforcement or defense of any resulting issued patents, all of which could have a material adverse effect on our business, financial condition, results of operations and prospects. Additionally, there have been proposals for additional changes to the patent laws of the United States and other countries that, if adopted, could impact our ability to enforce our proprietary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Amgen, Inc. v. Sanofi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as broad as Amgen’s directed to antibodies functionally defined by their ability to bind a particular antigen. Even if we are granted claims directed to functionally defined antibodies, it is possible that a third party may challenge our patents, when issued, relying on the reasoning in Amgen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Geopolitical instability in the United States and in foreign countries could increase the uncertainties and costs surrounding the prosecution or maintenance of patent applications and the maintenance, enforcement or defense of issued patents. In addition, the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do not currently own any European patents or applications, if we obtain or license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any future owned or licensed patents, if issued, or fail to maintain any current or future owned or licensed pending patent applications, covering our product candidates, our competitive position would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the patent’s prosecution history and in some cases certain extrinsic evidence of the meaning of terms in a claim.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current or future, owned or licensed patent applications or patents, if issued, or that we are the first to invent the technology. Our competitors may have filed, and may in the future file, patent applications covering our products or technology similar to ours. Any such patent application may have priority over our current or future, owned or licensed patent applications or patents, if issued, which could require us to obtain rights to issued patents covering such technologies.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become subject to claims challenging the inventorship or ownership of our patents, if issued, and other 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be subject to claims that former employees, collaborators or other third parties have an interest in our current pending patent application, or future patents, if filed and issued, or other intellectual property as an inventor or co- 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current or future licensors may rely on third-party consultants or collaborators or on funds from third parties, such as the U.S. government, such that our licensors are not the sole and exclusive owners of the patents we in-licensed. If other third parties have ownership rights or other rights to our owned or in-licensed pending patent applications or future patents, if filed and issued, they may be able to license such patent applications or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of our product candidates for an adequate amount of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if all maintenance fees are timely paid, the natural expiration of a patent is generally 20 years from our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technology licensed from various third parties may be subject to retained rights.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future licensors may retain certain rights under the relevant agreements with us, including the right to use or license the licensed technology outside of the scope of our license,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while there are certain restrictions on GenSci’s ability to develop products that could be competitive with ours as more fully described in the section titled,</w:t>
      </w:r>
      <w:r>
        <w:rPr>
          <w:color w:val="000000"/>
        </w:rPr>
        <w:t>“</w:t>
      </w:r>
      <w:r>
        <w:rPr>
          <w:rFonts w:ascii="Times New Roman;serif" w:hAnsi="Times New Roman;serif"/>
          <w:b w:val="false"/>
          <w:i/>
          <w:color w:val="000000"/>
          <w:sz w:val="20"/>
        </w:rPr>
        <w:t>Yarrow’s Business—Yarrow’s License Agreement—GenSci License Agreement”</w:t>
      </w:r>
      <w:r>
        <w:rPr>
          <w:color w:val="000000"/>
        </w:rPr>
        <w:t xml:space="preserve"> </w:t>
      </w:r>
      <w:r>
        <w:rPr>
          <w:rFonts w:ascii="Times New Roman;serif" w:hAnsi="Times New Roman;serif"/>
          <w:b w:val="false"/>
          <w:color w:val="000000"/>
          <w:sz w:val="20"/>
        </w:rPr>
        <w:t>included in our definitive proxy statement/prospectus filed on Form S-4 most recently amended on June 3, 2026, and, declared effective on June 15, 2026, these restrictions may not prevent the possible future license or development by GenSci of certain technology that could lead to product candidates competitive with ours. This could have a material adverse effect on our competitive position,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YB-101, we must demonstrate through lengthy, complex and expensive preclinical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may prove to have undesirable or unintended side effects, toxicities or other characteristics, or may fail to improve on the applicable standard of care, any of which may preclude us from obtaining regulatory approval. The FDA and comparable foreign regulatory authorities have discretion in the approval process and may refuse to accept any application or may decide that our data is insufficient for approval and require additional preclinical, clinical or other data. Our product candidates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our proposed indication; the results of clinical trials may not meet the level of statistical significance required by the FDA or comparable foreign regulatory authorities for approval; serious and unexpected drug-related side effects may be experienced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participants in our clinical trials or by individuals using drugs similar to our product candidates; we may be unable to demonstrate that a product candidate’s clinical and other benefits outweigh our safety risks; the FDA or comparable foreign regulatory authorities may disagree with our interpretation of data from preclinical studies or clinical trials; the data collected from clinical trials of our product candidates may not be acceptable or sufficient to support the submission of a biologics license application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product candidates;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the large number of drugs in development, only a small percentage successfully complete the FDA or applicable foreign regulatory approval processes and are commercialized. The lengthy approval process as well as the unpredictability of future clinical trial results may result in us failing to obtain regulatory approval to market our product candidates, which would significantly harm our business,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 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 which could have a material adverse effect on our competitive position, business, financial condition, results of operations and prospects. In addition, the FDA and foreign regulatory authorities may undergo leadership changes, change their policies, issue additional regulations or revise existing regulations, or take other actions, such as those implemented by the Department of Government Efficiency, which may impact our clinical development plans or prevent or delay approval of our product candidates under development on a timely basis. Such policy or regulatory changes could impose additional requirements upon us that could delay our ability to obtain approvals and increase the costs of compliance. Since the start of President Trump’s administration in 2025, U.S. policy changes have been implemented at a rapid pace and additional changes are likely.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our business may be negatively impacted. Additionally, the federal government could adopt legislation, regulations or policies that adversely affect our business or create a more challenging and costly environment to pursue the development, approval and commercialization of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not be able to meet requirements for the chemistry, manufacturing and control of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receive approval of our products by the FDA and comparable foreign regulatory authorities, we must show that we and our contract manufacturing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our drug products meet stability requirements. Meeting these chemistry, manufacturing and control requirements is a complex task that requires specialized expertise. If we are not able to meet the chemistry, manufacturing and control requirements, we may not be successful in getting our products approved.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product candidates for which we intend to seek approval as biologics may face competition from biosimilars sooner than anticipated.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 biological products is not yet clear, and will depend on a number of marketplace and regulatory factors that are still developing.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Comparable foreign regulatory authorities may impose similar requirements.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we conduct following approval. In addition, manufacturers of drug products and their facilities are subject to continual review and periodic, unannounced inspections by the FDA and other regulatory authorities for compliance with cGMPs. If we or a regulatory authority discovers previously unknown problems with a product candidate, such as adverse events of unanticipated severity or frequency, or problems with the facilities where the product candidate is manufactured, a regulatory authority may impose restrictions on that product candidate, the manufacturing facility or us, including requiring recall or withdrawal of the product candidate from the market or suspension of manufacturing, delays or restrictions on our ability to conduct clinical trials or delays or refusal to grant a marketing authorization, including full or partial clinical holds on ongoing or planned trials, restrictions on the manufacturing process, warning or untitled letters, civil and criminal penalties, injunctions, product seizures, detentions or import bans, suspension, withdrawal or variation of any marketing authorization that has been granted, voluntary or mandatory publicity requirements and imposition of restrictions on operations, including costly new manufacturing requirements. Similar penalties may apply in case of failure by us or by any of our third-party partners, including suppliers, manufacturers and distributors, to comply with FDA and EU laws and the related national laws of individual EU Member States and other applicable regulatory authorities governing the conduct of clinical trials, manufacturing approval, marketing authorization of medicinal products and marketing of such products, both before and after grant of a marketing authorization, statutory health insurance, bribery and anti-corruption or other applicable regulatory requirements, including administrative, civil or criminal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ability of the FDA to review regulatory filings and our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or comparable foreign regulatory authorities may also slow the time necessary for the review and approval of applications for clinical trial or marketing authorization, which would adversely affect our business. For example, in recent years, including in 2018, 2019 and 2025, the U.S. government shut down several times and certain regulatory agencies, such as the FDA and the SEC, had to furlough critical employees and stop critical activities. Additionally, action by the Trump administration to limit federal agency budgets or personnel may result in reductions to the FDA’s budget, employees and operations, which may lead to slower response times and longer review periods, potentially affecting our ability to progress development of our product candidates or obtain regulatory approval for our product candidates.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face difficulties from healthcare and regulatory legislative reform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us,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Even if we are able to commercialize any product candidates, due to unfavorable pricing regulations and/or third-party coverage and reimbursement policies, we may not be able to offer such product candidates at competitive prices, which would seriously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seek approval to market our product candidates in both the United States and in selected foreign jurisdictions. If we obtain approval in one or more foreign jurisdictions for our product candidates, we will be subject to rules and regulations in those jurisdictions.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competitor’s product, including a branded or generic/biosimilar product, over our products in an attempt to reduce their costs, which may reduce our commercial opportunity.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Governmental regulation of the import or export of our drug candidates, or our failure to obtain any required import or export authorization for our candidates, when applicable, could harm international operations. Furthermore, export control laws and economic sanctions prohibit the provision of certain items, technology, and services to countries, governments, and persons targeted by sanctions programs.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Governments outside the United States tend to impose strict price controls, which may adversely affect our revenue,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some countries, particularly EU Member States, the pricing of prescription drugs is subject to governmental control. In these countries, pricing negotiations with governmental authorities can take considerable time after receipt of regulatory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 priced EU Member States, can further reduce prices. To obtain coverage and reimbursement or pricing approvals in some countries, we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While we have received Fast Track designation for YB-101 for the treatment of GD, such a designation may not lead to a faster development or regulatory review or approval process.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FDA may designate a product candidate for Fast Track review if it is intended, whether alone or in combination with one or more other products, for the treatment of a serious or life-threatening disease or condition, and it demonstrates the potential to address unmet medical needs for such a disease or condition (“Fast Track”).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We submitted an application for Fast Track designation for YB-101 in GD to the FDA in March 2026 and received notice of Fast Track designation from the FDA on May 20,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designation of a product for Fast Track review is within the discretion of the FDA. The receipt of Fast Track designation for a product candidate does not guarantee that there will be faster development or a faster or more streamlined regulatory review or approval process compared to products considered for approval under conventional FDA procedures. The receipt of Fast Track designation does not assure ultimate approval by the FDA. In addition, the FDA may later decide that the product candidates no longer meet the conditions to qualify for the Fast Track designation, and we may not receive the benefits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program for the relevant product candidate, or decide that the time period for FDA review or approval will not be shortened. Additionally, changes in the leadership of the FDA and other actions taken, including mass layoffs within the federal government, may impose constraints on the FDA’s ability to engage in activities in the normal course and may result in reductions to the FDA’s budget, employees and operations, which may lead to slower response times and longer review periods, potentially affecting our ability to take advantage of the benefits of the Fast Track designation granted to YB-101, and progress the development of our product candidates or obtain regulatory approval for our product candidates may be delayed.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seek and are unable to obtain accelerated approval, the amount, size and duration of our clinical trials could be greater than planned, which could increase the expense, reduce the likelihood and/or delay the timing of obtaining necessary regulatory approvals. Even if we receive accelerated approval, if confirmatory trials do not verify clinical benefit, or if we do not comply with rigorous post-approval requirements, such authorities may withdraw accelerated approval.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seek accelerated approval, or other expedited development, review or approval status, for our product candidates. Even if granted, there is no guarantee that receiving an expedited development, review or approval status from the FDA will lead to a faster development or regulatory review or approval process, and such status does not increase the likelihood that our product candidates will ultimately receive marketing approval. The FDA may grant accelerated approval to a product designed to treat a serious or life-threatening condition that provides meaningful therapeutic advantage over available therapies and demonstrates an effect on a surrogate endpoint or intermediate clinical endpoint that is reasonably likely to predict clinical benefit. If we choose to pursue accelerated approval, there can be no assurance that the FDA will agree that our proposed primary endpoint is an appropriate surrogate endpoint. Similarly, there can be no assurance that after subsequent FDA feedback that we will continue to pursue accelerated approval or any other form of expedited development, review or approval, even if we initially decide to do so. Furthermore, if we submit an application for accelerated approval, there can be no assurance that such application will be accepted or that approval will be granted on a timely basis, or at all. The FDA also could require us to conduct further studies or trials prior to considering our application or granting approval of any type. We might not be able to fulfill the FDA’s requirements in a timely manner, which would cause delays, or approval might not be granted because our submission is deemed incomplete by the FDA. Accelerated approval may be contingent on the sponsor’s agreement to conduct, in a diligent manner, additional post-approval confirmatory studies to verify and describe the drug’s predicted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The FDA may require that any such confirmatory study be initiated or substantially underway prior to the submission of an application for accelerated approval. Even if we receive accelerated approval from the FDA, we will be subject to rigorous post-approval requirements, including submission to the FDA of all promotional materials prior to their dissemination. The FDA could withdraw accelerated approval for multiple reasons, including our failure to conduct any required post-approval study with due diligence or the inability of such study to confirm the drug’s predicted clinical benefit relative to its risks. A failure to obtain accelerated approval or any other form of expedited review or approval for a product candidate could result in a longer time period prior to commercializing such product candidate, increase the cost of development of such product candidate, and harm our competitive position in the marketplace. Comparable considerations apply outside of the United States.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Adoption, Modification and Termination of Rule 10b5-1 Plans and Certain Other Trading Arrangements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and officers (as defined in Rule 16a-1(f) under the Securities Exchange Act of 1934, as amended) adopted or terminated any Rule 10b5-1 trading arrangement or non-Rule 10b5-1 trading arrangement (in each case, as defined in Item 408(a) of Regulation S-K).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or furnished as applicable, as part of this Quarterly Report on Form 10-Q:</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46"/>
        <w:gridCol w:w="304"/>
        <w:gridCol w:w="305"/>
        <w:gridCol w:w="109"/>
        <w:gridCol w:w="109"/>
        <w:gridCol w:w="109"/>
        <w:gridCol w:w="1619"/>
        <w:gridCol w:w="1526"/>
        <w:gridCol w:w="1448"/>
        <w:gridCol w:w="109"/>
        <w:gridCol w:w="109"/>
        <w:gridCol w:w="109"/>
        <w:gridCol w:w="195"/>
        <w:gridCol w:w="195"/>
        <w:gridCol w:w="196"/>
        <w:gridCol w:w="119"/>
        <w:gridCol w:w="119"/>
        <w:gridCol w:w="119"/>
        <w:gridCol w:w="212"/>
        <w:gridCol w:w="212"/>
        <w:gridCol w:w="217"/>
        <w:gridCol w:w="119"/>
        <w:gridCol w:w="119"/>
        <w:gridCol w:w="119"/>
        <w:gridCol w:w="265"/>
        <w:gridCol w:w="265"/>
        <w:gridCol w:w="266"/>
        <w:gridCol w:w="109"/>
        <w:gridCol w:w="109"/>
        <w:gridCol w:w="109"/>
        <w:gridCol w:w="271"/>
        <w:gridCol w:w="271"/>
        <w:gridCol w:w="397"/>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9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w:t>
            </w:r>
          </w:p>
        </w:tc>
      </w:tr>
      <w:tr>
        <w:trPr/>
        <w:tc>
          <w:tcPr>
            <w:tcW w:w="9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Agreement and Plan of Merger and Reorganization, dated as of December 17, 2025, by and among VYNE </w:t>
              </w:r>
            </w:hyperlink>
            <w:hyperlink r:id="rId3">
              <w:r>
                <w:rPr>
                  <w:rStyle w:val="InternetLink"/>
                  <w:rFonts w:ascii="Times New Roman;serif" w:hAnsi="Times New Roman;serif"/>
                  <w:b w:val="false"/>
                  <w:color w:val="000080"/>
                  <w:sz w:val="20"/>
                  <w:u w:val="single"/>
                </w:rPr>
                <w:t>Therapeutics Inc., Yarrow Bioscience, Inc., and Yellow Merger Sub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12/17/2025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Amendment No. 1 to Agreement and Plan of Merger and Reorganization, dated as of January 30, 2026, by and among VYNE Therapeutics Inc., Yarrow Bioscience, Inc., and Yellow Merger Sub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Amended and Restated Certificate of Incorporatio</w:t>
              </w:r>
            </w:hyperlink>
            <w:hyperlink r:id="rId6">
              <w:r>
                <w:rPr>
                  <w:rStyle w:val="InternetLink"/>
                  <w:rFonts w:ascii="Times New Roman;serif" w:hAnsi="Times New Roman;serif"/>
                  <w:b w:val="false"/>
                  <w:color w:val="000080"/>
                  <w:sz w:val="20"/>
                  <w:u w:val="single"/>
                </w:rPr>
                <w:t>n of Yarrow Bios</w:t>
              </w:r>
            </w:hyperlink>
            <w:hyperlink r:id="rId7">
              <w:r>
                <w:rPr>
                  <w:rStyle w:val="InternetLink"/>
                  <w:rFonts w:ascii="Times New Roman;serif" w:hAnsi="Times New Roman;serif"/>
                  <w:b w:val="false"/>
                  <w:color w:val="000080"/>
                  <w:sz w:val="20"/>
                  <w:u w:val="single"/>
                </w:rPr>
                <w:t>cience,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7/28/2026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Certificate of Designation of Preferences, Rights, and Limitations of Series A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11/14/2022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Elimination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1/17/2023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80"/>
                  <w:sz w:val="20"/>
                  <w:u w:val="single"/>
                </w:rPr>
                <w:t xml:space="preserve">Certificate of Amendment </w:t>
              </w:r>
            </w:hyperlink>
            <w:hyperlink r:id="rId11">
              <w:r>
                <w:rPr>
                  <w:rStyle w:val="InternetLink"/>
                  <w:rFonts w:ascii="Times New Roman;serif" w:hAnsi="Times New Roman;serif"/>
                  <w:b w:val="false"/>
                  <w:color w:val="000080"/>
                  <w:sz w:val="20"/>
                  <w:u w:val="single"/>
                </w:rPr>
                <w:t>to the A</w:t>
              </w:r>
            </w:hyperlink>
            <w:hyperlink r:id="rId12">
              <w:r>
                <w:rPr>
                  <w:rStyle w:val="InternetLink"/>
                  <w:rFonts w:ascii="Times New Roman;serif" w:hAnsi="Times New Roman;serif"/>
                  <w:b w:val="false"/>
                  <w:color w:val="000080"/>
                  <w:sz w:val="20"/>
                  <w:u w:val="single"/>
                </w:rPr>
                <w:t xml:space="preserve">mended and Restated Certificate of Incorporation.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2/10/2023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Amended and Restated Bylaws of Yarrow Bioscience,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7/28/2026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F</w:t>
              </w:r>
            </w:hyperlink>
            <w:hyperlink r:id="rId15">
              <w:r>
                <w:rPr>
                  <w:rStyle w:val="InternetLink"/>
                  <w:rFonts w:ascii="Times New Roman;serif" w:hAnsi="Times New Roman;serif"/>
                  <w:b w:val="false"/>
                  <w:color w:val="000080"/>
                  <w:sz w:val="20"/>
                  <w:u w:val="single"/>
                </w:rPr>
                <w:t xml:space="preserve">orm </w:t>
              </w:r>
            </w:hyperlink>
            <w:hyperlink r:id="rId16">
              <w:r>
                <w:rPr>
                  <w:rStyle w:val="InternetLink"/>
                  <w:rFonts w:ascii="Times New Roman;serif" w:hAnsi="Times New Roman;serif"/>
                  <w:b w:val="false"/>
                  <w:color w:val="000080"/>
                  <w:sz w:val="20"/>
                  <w:u w:val="single"/>
                </w:rPr>
                <w:t xml:space="preserve">of </w:t>
              </w:r>
            </w:hyperlink>
            <w:hyperlink r:id="rId17">
              <w:r>
                <w:rPr>
                  <w:rStyle w:val="InternetLink"/>
                  <w:rFonts w:ascii="Times New Roman;serif" w:hAnsi="Times New Roman;serif"/>
                  <w:b w:val="false"/>
                  <w:color w:val="000080"/>
                  <w:sz w:val="20"/>
                  <w:u w:val="single"/>
                </w:rPr>
                <w:t>Pre-Funded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7/28/2026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80"/>
                  <w:sz w:val="20"/>
                  <w:u w:val="single"/>
                </w:rPr>
                <w:t>E</w:t>
              </w:r>
            </w:hyperlink>
            <w:hyperlink r:id="rId19">
              <w:r>
                <w:rPr>
                  <w:rStyle w:val="InternetLink"/>
                  <w:rFonts w:ascii="Times New Roman;serif" w:hAnsi="Times New Roman;serif"/>
                  <w:b w:val="false"/>
                  <w:color w:val="000080"/>
                  <w:sz w:val="20"/>
                  <w:u w:val="single"/>
                </w:rPr>
                <w:t xml:space="preserve">mployment Agreement between </w:t>
              </w:r>
            </w:hyperlink>
            <w:hyperlink r:id="rId20">
              <w:r>
                <w:rPr>
                  <w:rStyle w:val="InternetLink"/>
                  <w:rFonts w:ascii="Times New Roman;serif" w:hAnsi="Times New Roman;serif"/>
                  <w:b w:val="false"/>
                  <w:color w:val="000080"/>
                  <w:sz w:val="20"/>
                  <w:u w:val="single"/>
                </w:rPr>
                <w:t xml:space="preserve">Tyler Zeronda and Yarrow Bioscience,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Yarrow Bioscience, Inc. 2026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7/28/2026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Yarrow Bioscience, Inc. 2026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7/28/2026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 xml:space="preserve">Exclusive License Agreement, dated as of December 15, 2025, by and among Shanghai Scizeng Medical Technology Co., Ltd., Yarrow Bioscience, Inc, and the other parties thereto.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yne-20260630xexx311.htm">
              <w:r>
                <w:rPr>
                  <w:rStyle w:val="InternetLink"/>
                  <w:rFonts w:ascii="Times New Roman;serif" w:hAnsi="Times New Roman;serif"/>
                  <w:b w:val="false"/>
                  <w:color w:val="0000FF"/>
                  <w:sz w:val="20"/>
                  <w:u w:val="single"/>
                </w:rPr>
                <w:t>Certification of the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yne-20260630xexx312.htm">
              <w:r>
                <w:rPr>
                  <w:rStyle w:val="InternetLink"/>
                  <w:rFonts w:ascii="Times New Roman;serif" w:hAnsi="Times New Roman;serif"/>
                  <w:b w:val="false"/>
                  <w:color w:val="0000FF"/>
                  <w:sz w:val="20"/>
                  <w:u w:val="single"/>
                </w:rPr>
                <w:t>Certification of the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yne-20260630xexx321.htm">
              <w:r>
                <w:rPr>
                  <w:rStyle w:val="InternetLink"/>
                  <w:rFonts w:ascii="Times New Roman;serif" w:hAnsi="Times New Roman;serif"/>
                  <w:b w:val="false"/>
                  <w:color w:val="0000FF"/>
                  <w:sz w:val="20"/>
                  <w:u w:val="single"/>
                </w:rPr>
                <w:t>Certification of the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39"/>
        <w:gridCol w:w="203"/>
        <w:gridCol w:w="204"/>
        <w:gridCol w:w="109"/>
        <w:gridCol w:w="109"/>
        <w:gridCol w:w="109"/>
        <w:gridCol w:w="2188"/>
        <w:gridCol w:w="2188"/>
        <w:gridCol w:w="219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3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yne-20260630xexx322.htm">
              <w:r>
                <w:rPr>
                  <w:rStyle w:val="InternetLink"/>
                  <w:rFonts w:ascii="Times New Roman;serif" w:hAnsi="Times New Roman;serif"/>
                  <w:b w:val="false"/>
                  <w:color w:val="0000FF"/>
                  <w:sz w:val="20"/>
                  <w:u w:val="single"/>
                </w:rPr>
                <w:t>Certification of the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Quarterly Report on Form 10-Q for the quarter ended June 30, 2026, formatted in Inline XBRL (included within Exhibit 101 attachments).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0" w:after="0"/>
        <w:ind w:left="0" w:right="0" w:hanging="360"/>
        <w:jc w:val="both"/>
        <w:rPr/>
      </w:pPr>
      <w:r>
        <w:rPr>
          <w:color w:val="000000"/>
        </w:rPr>
        <w:t xml:space="preserve">† </w:t>
      </w:r>
      <w:r>
        <w:rPr>
          <w:rFonts w:ascii="Times New Roman;serif" w:hAnsi="Times New Roman;serif"/>
          <w:b w:val="false"/>
          <w:color w:val="000000"/>
          <w:sz w:val="20"/>
        </w:rPr>
        <w:t>Schedules and exhibits to the Merger Agreement have been omitted pursuant to Item 601(b)(2) of Regulation S-K. A copy of any omitted schedule and/or exhibit will be furnished to the Securities and Exchange Commission upon request.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The certifications attached as Exhibit 32.1 and Exhibit 32.2 that accompany this Quarterly Report on Form 10-Q are not deemed filed with the Securities and Exchange Commission and are not to be incorporated by reference into any filing of Yarrow Bioscience,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fe0bcaa39a184efbb3bfe5b3f74cc2eb_7">
        <w:r>
          <w:rPr>
            <w:rStyle w:val="InternetLink"/>
            <w:rFonts w:ascii="Times New Roman;serif" w:hAnsi="Times New Roman;serif"/>
            <w:b w:val="false"/>
            <w:color w:val="000080"/>
            <w:sz w:val="20"/>
            <w:u w:val="single"/>
          </w:rPr>
          <w:t xml:space="preserve">Table of </w:t>
        </w:r>
      </w:hyperlink>
      <w:hyperlink w:anchor="ife0bcaa39a184efbb3bfe5b3f74cc2eb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13, 2026 </w:t>
      </w:r>
    </w:p>
    <w:tbl>
      <w:tblPr>
        <w:tblW w:w="6717" w:type="dxa"/>
        <w:jc w:val="left"/>
        <w:tblInd w:w="0" w:type="dxa"/>
        <w:tblLayout w:type="fixed"/>
        <w:tblCellMar>
          <w:top w:w="28" w:type="dxa"/>
          <w:left w:w="28" w:type="dxa"/>
          <w:bottom w:w="28" w:type="dxa"/>
          <w:right w:w="28" w:type="dxa"/>
        </w:tblCellMar>
      </w:tblPr>
      <w:tblGrid>
        <w:gridCol w:w="124"/>
        <w:gridCol w:w="109"/>
        <w:gridCol w:w="109"/>
        <w:gridCol w:w="335"/>
        <w:gridCol w:w="335"/>
        <w:gridCol w:w="335"/>
        <w:gridCol w:w="1559"/>
        <w:gridCol w:w="1559"/>
        <w:gridCol w:w="22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Yarrow Bioscience,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Rebecca Frey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Rebecca Frey, Pharm.D.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(On Behalf of the Registrant and as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Tyler Zeronda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Tyler Zeronda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Rebecca Frey,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Yarrow Bioscience,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0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686"/>
        <w:gridCol w:w="686"/>
        <w:gridCol w:w="98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Rebecca Frey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Rebecca Frey, Pharm.D.</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Tyler Zeronda,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Yarrow Bioscience,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4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672"/>
        <w:gridCol w:w="672"/>
        <w:gridCol w:w="95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Tyler Zeronda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Tyler Zeronda</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Yarrow Bioscience, Inc. (the “Company”), for the quarter ended June 30, 2026 as filed with the Securities and Exchange Commission (the “Report”), I, Rebecca Frey, President and Chief Executive Officer and principal executive officer of the Company, hereby certify as of the date hereof, solely for purposes of 18 U.S.C. §1350, as adopted pursuant to §906 of the Sarbanes-Oxley Act of 2002, that to the best of my knowledge: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0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686"/>
        <w:gridCol w:w="686"/>
        <w:gridCol w:w="98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Rebecca Frey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Rebecca Frey, Pharm.D. </w:t>
              <w:br/>
              <w:t>Principal Executive Officer</w:t>
            </w:r>
          </w:p>
        </w:tc>
      </w:tr>
    </w:tbl>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and is not incorporated by reference into any filing of VYNE Therapeutics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Yarrow Bioscience, Inc. (the “Company”), for the quarter ended June 30, 2026 as filed with the Securities and Exchange Commission (the “Report”), I, Tyler Zeronda, Chief Financial Officer, Treasurer and principal financial officer of the Company, hereby certify as of the date hereof, solely for purposes of 18 U.S.C. §1350, as adopted pursuant to §906 of the Sarbanes-Oxley Act of 2002, that to the best of my knowledge: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64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672"/>
        <w:gridCol w:w="672"/>
        <w:gridCol w:w="95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Tyler Zeronda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Tyler Zeronda</w:t>
              <w:br/>
              <w:t>Principal Financial Officer</w:t>
            </w:r>
          </w:p>
        </w:tc>
      </w:tr>
    </w:tbl>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and is not to be incorporated by reference into any filing of VYNE Therapeutics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66044/000110465925121828/tm2533624d1_ex2-1.htm" TargetMode="External"/><Relationship Id="rId3" Type="http://schemas.openxmlformats.org/officeDocument/2006/relationships/hyperlink" Target="https://www.sec.gov/Archives/edgar/data/1566044/000110465925121828/tm2533624d1_ex2-1.htm" TargetMode="External"/><Relationship Id="rId4" Type="http://schemas.openxmlformats.org/officeDocument/2006/relationships/hyperlink" Target="https://www.sec.gov/Archives/edgar/data/1566044/000110465926008642/tm264541d1_ex10-1.htm" TargetMode="External"/><Relationship Id="rId5" Type="http://schemas.openxmlformats.org/officeDocument/2006/relationships/hyperlink" Target="https://www.sec.gov/Archives/edgar/data/1566044/000110465926087601/tm2620687d3_ex3-4.htm" TargetMode="External"/><Relationship Id="rId6" Type="http://schemas.openxmlformats.org/officeDocument/2006/relationships/hyperlink" Target="https://www.sec.gov/Archives/edgar/data/1566044/000110465926087601/tm2620687d3_ex3-4.htm" TargetMode="External"/><Relationship Id="rId7" Type="http://schemas.openxmlformats.org/officeDocument/2006/relationships/hyperlink" Target="https://www.sec.gov/Archives/edgar/data/1566044/000110465926087601/tm2620687d3_ex3-4.htm" TargetMode="External"/><Relationship Id="rId8" Type="http://schemas.openxmlformats.org/officeDocument/2006/relationships/hyperlink" Target="https://www.sec.gov/Archives/edgar/data/1566044/000162828022029836/vyne-31bcertificateofdesig.htm" TargetMode="External"/><Relationship Id="rId9" Type="http://schemas.openxmlformats.org/officeDocument/2006/relationships/hyperlink" Target="https://www.sec.gov/Archives/edgar/data/1566044/000110465923004316/tm233612d1_ex3-1.htm" TargetMode="External"/><Relationship Id="rId10" Type="http://schemas.openxmlformats.org/officeDocument/2006/relationships/hyperlink" Target="https://www.sec.gov/Archives/edgar/data/1566044/000110465923018639/tm236109d1_ex3-1.htm" TargetMode="External"/><Relationship Id="rId11" Type="http://schemas.openxmlformats.org/officeDocument/2006/relationships/hyperlink" Target="https://www.sec.gov/Archives/edgar/data/1566044/000110465923018639/tm236109d1_ex3-1.htm" TargetMode="External"/><Relationship Id="rId12" Type="http://schemas.openxmlformats.org/officeDocument/2006/relationships/hyperlink" Target="https://www.sec.gov/Archives/edgar/data/1566044/000110465923018639/tm236109d1_ex3-1.htm" TargetMode="External"/><Relationship Id="rId13" Type="http://schemas.openxmlformats.org/officeDocument/2006/relationships/hyperlink" Target="https://www.sec.gov/Archives/edgar/data/1566044/000110465926087601/tm2620687d3_ex3-5.htm" TargetMode="External"/><Relationship Id="rId14" Type="http://schemas.openxmlformats.org/officeDocument/2006/relationships/hyperlink" Target="https://www.sec.gov/Archives/edgar/data/1566044/000110465926087601/tm2620687d3_ex4-1.htm" TargetMode="External"/><Relationship Id="rId15" Type="http://schemas.openxmlformats.org/officeDocument/2006/relationships/hyperlink" Target="https://www.sec.gov/Archives/edgar/data/1566044/000110465926087601/tm2620687d3_ex4-1.htm" TargetMode="External"/><Relationship Id="rId16" Type="http://schemas.openxmlformats.org/officeDocument/2006/relationships/hyperlink" Target="https://www.sec.gov/Archives/edgar/data/1566044/000110465926087601/tm2620687d3_ex4-1.htm" TargetMode="External"/><Relationship Id="rId17" Type="http://schemas.openxmlformats.org/officeDocument/2006/relationships/hyperlink" Target="https://www.sec.gov/Archives/edgar/data/1566044/000110465926087601/tm2620687d3_ex4-1.htm" TargetMode="External"/><Relationship Id="rId18" Type="http://schemas.openxmlformats.org/officeDocument/2006/relationships/hyperlink" Target="https://www.sec.gov/Archives/edgar/data/1566044/000156604426000005/tylerzeronda_yarrowofferle.htm" TargetMode="External"/><Relationship Id="rId19" Type="http://schemas.openxmlformats.org/officeDocument/2006/relationships/hyperlink" Target="https://www.sec.gov/Archives/edgar/data/1566044/000156604426000005/tylerzeronda_yarrowofferle.htm" TargetMode="External"/><Relationship Id="rId20" Type="http://schemas.openxmlformats.org/officeDocument/2006/relationships/hyperlink" Target="https://www.sec.gov/Archives/edgar/data/1566044/000156604426000005/tylerzeronda_yarrowofferle.htm" TargetMode="External"/><Relationship Id="rId21" Type="http://schemas.openxmlformats.org/officeDocument/2006/relationships/hyperlink" Target="https://www.sec.gov/Archives/edgar/data/1566044/000110465926087601/tm2620687d3_ex10-5.htm" TargetMode="External"/><Relationship Id="rId22" Type="http://schemas.openxmlformats.org/officeDocument/2006/relationships/hyperlink" Target="https://www.sec.gov/Archives/edgar/data/1566044/000110465926087601/tm2620687d3_ex10-6.htm" TargetMode="External"/><Relationship Id="rId23" Type="http://schemas.openxmlformats.org/officeDocument/2006/relationships/hyperlink" Target="https://www.sec.gov/Archives/edgar/data/1566044/000110465926037932/vyne-20251231xex10d6.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44434</Words>
  <Characters>250544</Characters>
  <CharactersWithSpaces>293586</CharactersWithSpaces>
  <Paragraphs>1950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