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4918-2_424b5.htm"/>
        <w:bookmarkStart w:id="1" w:name="kstm26249182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333-277609</w:t>
      </w:r>
      <w:r>
        <w:rPr>
          <w:rFonts w:ascii="Times New Roman;Times;serif" w:hAnsi="Times New Roman;Times;serif"/>
          <w:b/>
          <w:i w:val="false"/>
          <w:caps w:val="false"/>
          <w:smallCaps w:val="false"/>
          <w:color w:val="000000"/>
          <w:sz w:val="20"/>
        </w:rPr>
        <w:t>​</w:t>
      </w:r>
    </w:p>
    <w:p>
      <w:pPr>
        <w:pStyle w:val="TextBody"/>
        <w:bidi w:val="0"/>
        <w:spacing w:lineRule="atLeast" w:line="230" w:before="240" w:after="283"/>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PROSPECTUS SUPPLEMENT</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(To Prospectus Dated August 19, 2026)</w:t>
      </w:r>
      <w:r>
        <w:rPr>
          <w:rFonts w:ascii="Times New Roman;Times;serif" w:hAnsi="Times New Roman;Times;serif"/>
          <w:b/>
          <w:i w:val="false"/>
          <w:caps w:val="false"/>
          <w:smallCaps w:val="false"/>
          <w:color w:val="000000"/>
          <w:spacing w:val="4"/>
          <w:sz w:val="19"/>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705100"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05100" cy="9239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5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5,769,231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5,769,231 shares of our common stock. The public offering price for each share of common stock is $26.00. Our common stock trades on the Nasdaq Capital Market (“Nasdaq”) under the symbol “YARW.” On September 9, 2026, the last reported sale price for our common stock on Nasdaq was $29.11 per share. </w:t>
      </w:r>
    </w:p>
    <w:p>
      <w:pPr>
        <w:pStyle w:val="TextBody"/>
        <w:bidi w:val="0"/>
        <w:spacing w:lineRule="atLeast" w:line="240" w:before="240" w:after="283"/>
        <w:ind w:left="1393" w:right="0" w:firstLine="400"/>
        <w:jc w:val="left"/>
        <w:rPr/>
      </w:pPr>
      <w:r>
        <w:rPr>
          <w:rFonts w:ascii="Times New Roman;Times;serif" w:hAnsi="Times New Roman;Times;serif"/>
          <w:b/>
          <w:i w:val="false"/>
          <w:caps w:val="false"/>
          <w:smallCaps w:val="false"/>
          <w:color w:val="000000"/>
          <w:spacing w:val="-4"/>
          <w:sz w:val="20"/>
        </w:rPr>
        <w:t>Investing in our common stock involves risks. See the section titled “Risk Factors” beginning on page S-</w:t>
      </w:r>
      <w:hyperlink w:anchor="sRIFA">
        <w:r>
          <w:rPr>
            <w:rStyle w:val="InternetLink"/>
          </w:rPr>
          <w:t>6</w:t>
        </w:r>
      </w:hyperlink>
      <w:r>
        <w:rPr>
          <w:rFonts w:ascii="Times New Roman;Times;serif" w:hAnsi="Times New Roman;Times;serif"/>
          <w:b/>
          <w:i w:val="false"/>
          <w:caps w:val="false"/>
          <w:smallCaps w:val="false"/>
          <w:color w:val="000000"/>
          <w:spacing w:val="-4"/>
          <w:sz w:val="20"/>
        </w:rPr>
        <w:t xml:space="preserve"> of this prospectus supplement and page 4 of the accompanying prospectus, as well as in the documents incorporated by reference herein and therein, to read about factors you should consider before buying shares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other regulatory body has approved or disapproved these securities, or passed upon the accuracy or adequacy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735"/>
        <w:gridCol w:w="109"/>
        <w:gridCol w:w="109"/>
        <w:gridCol w:w="132"/>
        <w:gridCol w:w="275"/>
        <w:gridCol w:w="847"/>
        <w:gridCol w:w="132"/>
        <w:gridCol w:w="109"/>
        <w:gridCol w:w="109"/>
        <w:gridCol w:w="109"/>
        <w:gridCol w:w="226"/>
        <w:gridCol w:w="1653"/>
        <w:gridCol w:w="109"/>
        <w:gridCol w:w="158"/>
      </w:tblGrid>
      <w:tr>
        <w:trPr/>
        <w:tc>
          <w:tcPr>
            <w:tcW w:w="47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9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4735"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847" w:type="dxa"/>
            <w:tcBorders/>
            <w:shd w:fill="CCEEFF" w:val="clear"/>
            <w:tcMar>
              <w:bottom w:w="0" w:type="dxa"/>
            </w:tcMar>
            <w:vAlign w:val="center"/>
          </w:tcPr>
          <w:p>
            <w:pPr>
              <w:pStyle w:val="TableContents"/>
              <w:bidi w:val="0"/>
              <w:spacing w:before="0" w:after="283"/>
              <w:jc w:val="right"/>
              <w:rPr/>
            </w:pPr>
            <w:r>
              <w:rPr/>
              <w:t xml:space="preserve">26.00 </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653" w:type="dxa"/>
            <w:tcBorders/>
            <w:shd w:fill="CCEEFF" w:val="clear"/>
            <w:tcMar>
              <w:bottom w:w="0" w:type="dxa"/>
            </w:tcMar>
            <w:vAlign w:val="center"/>
          </w:tcPr>
          <w:p>
            <w:pPr>
              <w:pStyle w:val="TableContents"/>
              <w:bidi w:val="0"/>
              <w:spacing w:before="0" w:after="283"/>
              <w:jc w:val="right"/>
              <w:rPr/>
            </w:pPr>
            <w:r>
              <w:rPr/>
              <w:t xml:space="preserve">150,000,006.00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735" w:type="dxa"/>
            <w:tcBorders/>
            <w:tcMar>
              <w:bottom w:w="0" w:type="dxa"/>
            </w:tcMar>
            <w:vAlign w:val="center"/>
          </w:tcPr>
          <w:p>
            <w:pPr>
              <w:pStyle w:val="TableContents"/>
              <w:bidi w:val="0"/>
              <w:spacing w:before="0" w:after="0"/>
              <w:jc w:val="left"/>
              <w:rPr/>
            </w:pPr>
            <w:r>
              <w:rPr>
                <w:spacing w:val="4"/>
              </w:rPr>
              <w:t>Underwriting Discounts and Commissions</w:t>
            </w:r>
            <w:r>
              <w:rPr>
                <w:spacing w:val="3"/>
                <w:sz w:val="12"/>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847" w:type="dxa"/>
            <w:tcBorders/>
            <w:tcMar>
              <w:bottom w:w="0" w:type="dxa"/>
            </w:tcMar>
            <w:vAlign w:val="center"/>
          </w:tcPr>
          <w:p>
            <w:pPr>
              <w:pStyle w:val="TableContents"/>
              <w:bidi w:val="0"/>
              <w:spacing w:before="0" w:after="283"/>
              <w:jc w:val="right"/>
              <w:rPr/>
            </w:pPr>
            <w:r>
              <w:rPr/>
              <w:t xml:space="preserve">1.56 </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653" w:type="dxa"/>
            <w:tcBorders/>
            <w:tcMar>
              <w:bottom w:w="0" w:type="dxa"/>
            </w:tcMar>
            <w:vAlign w:val="center"/>
          </w:tcPr>
          <w:p>
            <w:pPr>
              <w:pStyle w:val="TableContents"/>
              <w:bidi w:val="0"/>
              <w:spacing w:before="0" w:after="283"/>
              <w:jc w:val="right"/>
              <w:rPr/>
            </w:pPr>
            <w:r>
              <w:rPr/>
              <w:t xml:space="preserve">9,000,000.36 </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735" w:type="dxa"/>
            <w:tcBorders/>
            <w:shd w:fill="CCEEFF" w:val="clear"/>
            <w:tcMar>
              <w:bottom w:w="0" w:type="dxa"/>
            </w:tcMar>
            <w:vAlign w:val="center"/>
          </w:tcPr>
          <w:p>
            <w:pPr>
              <w:pStyle w:val="TableContents"/>
              <w:bidi w:val="0"/>
              <w:spacing w:before="0" w:after="0"/>
              <w:jc w:val="left"/>
              <w:rPr>
                <w:spacing w:val="4"/>
              </w:rPr>
            </w:pPr>
            <w:r>
              <w:rPr>
                <w:spacing w:val="4"/>
              </w:rPr>
              <w:t xml:space="preserve">Proceeds, Before Expenses, to Yarrow Bioscience,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847" w:type="dxa"/>
            <w:tcBorders/>
            <w:shd w:fill="CCEEFF" w:val="clear"/>
            <w:tcMar>
              <w:bottom w:w="0" w:type="dxa"/>
            </w:tcMar>
            <w:vAlign w:val="center"/>
          </w:tcPr>
          <w:p>
            <w:pPr>
              <w:pStyle w:val="TableContents"/>
              <w:bidi w:val="0"/>
              <w:spacing w:before="0" w:after="283"/>
              <w:jc w:val="right"/>
              <w:rPr/>
            </w:pPr>
            <w:r>
              <w:rPr/>
              <w:t xml:space="preserve">24.44 </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653" w:type="dxa"/>
            <w:tcBorders/>
            <w:shd w:fill="CCEEFF" w:val="clear"/>
            <w:tcMar>
              <w:bottom w:w="0" w:type="dxa"/>
            </w:tcMar>
            <w:vAlign w:val="center"/>
          </w:tcPr>
          <w:p>
            <w:pPr>
              <w:pStyle w:val="TableContents"/>
              <w:bidi w:val="0"/>
              <w:spacing w:before="0" w:after="283"/>
              <w:jc w:val="right"/>
              <w:rPr/>
            </w:pPr>
            <w:r>
              <w:rPr/>
              <w:t>141,000,005.64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the section titled “Underwriting” for additional information regarding underwriting compensation.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Delivery of the shares of common stock is expected to be made on or about September 14, 2026. </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granted the underwriters an option for a period of 30 days to purchase up to an additional 865,384 shares of our common stock. If the underwriters exercise the option in full, the total underwriting discounts and commissions payable by us will be $10,349,999.40 and the total proceeds to us, before expenses, will be $162,149,990.60.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5091" w:type="dxa"/>
        <w:jc w:val="left"/>
        <w:tblInd w:w="1393" w:type="dxa"/>
        <w:tblLayout w:type="fixed"/>
        <w:tblCellMar>
          <w:top w:w="0" w:type="dxa"/>
          <w:left w:w="0" w:type="dxa"/>
          <w:bottom w:w="0" w:type="dxa"/>
          <w:right w:w="0" w:type="dxa"/>
        </w:tblCellMar>
      </w:tblPr>
      <w:tblGrid>
        <w:gridCol w:w="124"/>
        <w:gridCol w:w="898"/>
        <w:gridCol w:w="109"/>
        <w:gridCol w:w="109"/>
        <w:gridCol w:w="1216"/>
        <w:gridCol w:w="109"/>
        <w:gridCol w:w="109"/>
        <w:gridCol w:w="2263"/>
        <w:gridCol w:w="154"/>
      </w:tblGrid>
      <w:tr>
        <w:trPr/>
        <w:tc>
          <w:tcPr>
            <w:tcW w:w="124" w:type="dxa"/>
            <w:tcBorders/>
            <w:vAlign w:val="center"/>
          </w:tcPr>
          <w:p>
            <w:pPr>
              <w:pStyle w:val="TableContents"/>
              <w:bidi w:val="0"/>
              <w:spacing w:before="0" w:after="283"/>
              <w:jc w:val="left"/>
              <w:rPr/>
            </w:pPr>
            <w:r>
              <w:rPr/>
              <w:t>​</w:t>
            </w:r>
          </w:p>
        </w:tc>
        <w:tc>
          <w:tcPr>
            <w:tcW w:w="898" w:type="dxa"/>
            <w:tcBorders/>
            <w:vAlign w:val="center"/>
          </w:tcPr>
          <w:p>
            <w:pPr>
              <w:pStyle w:val="TableContents"/>
              <w:bidi w:val="0"/>
              <w:spacing w:before="0" w:after="283"/>
              <w:jc w:val="left"/>
              <w:rPr/>
            </w:pPr>
            <w:r>
              <w:rPr>
                <w:spacing w:val="-6"/>
              </w:rPr>
              <w:t>Jefferies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16" w:type="dxa"/>
            <w:tcBorders/>
            <w:vAlign w:val="center"/>
          </w:tcPr>
          <w:p>
            <w:pPr>
              <w:pStyle w:val="TableContents"/>
              <w:bidi w:val="0"/>
              <w:spacing w:before="0" w:after="0"/>
              <w:jc w:val="center"/>
              <w:rPr/>
            </w:pPr>
            <w:r>
              <w:rPr>
                <w:spacing w:val="-6"/>
              </w:rPr>
              <w:t>TD Cowen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3" w:type="dxa"/>
            <w:tcBorders/>
            <w:vAlign w:val="center"/>
          </w:tcPr>
          <w:p>
            <w:pPr>
              <w:pStyle w:val="TableContents"/>
              <w:bidi w:val="0"/>
              <w:spacing w:before="0" w:after="0"/>
              <w:jc w:val="right"/>
              <w:rPr/>
            </w:pPr>
            <w:r>
              <w:rPr>
                <w:spacing w:val="-6"/>
              </w:rPr>
              <w:t>Guggenheim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Lead Manager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LifeSci Capital</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 dated September 10,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03"/>
        <w:gridCol w:w="109"/>
        <w:gridCol w:w="109"/>
        <w:gridCol w:w="109"/>
        <w:gridCol w:w="109"/>
        <w:gridCol w:w="609"/>
        <w:gridCol w:w="109"/>
        <w:gridCol w:w="155"/>
      </w:tblGrid>
      <w:tr>
        <w:trPr/>
        <w:tc>
          <w:tcPr>
            <w:tcW w:w="75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03"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S-1</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3" w:type="dxa"/>
            <w:tcBorders/>
            <w:tcMar>
              <w:bottom w:w="0" w:type="dxa"/>
            </w:tcMar>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hyperlink w:anchor="sPSS">
              <w:r>
                <w:rPr>
                  <w:rStyle w:val="InternetLink"/>
                  <w:spacing w:val="4"/>
                </w:rPr>
                <w:t>S-2</w:t>
              </w:r>
            </w:hyperlink>
            <w:hyperlink w:anchor="sPS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3" w:type="dxa"/>
            <w:tcBorders/>
            <w:shd w:fill="CCEEFF" w:val="clear"/>
            <w:tcMar>
              <w:bottom w:w="0" w:type="dxa"/>
            </w:tcMar>
            <w:vAlign w:val="center"/>
          </w:tcPr>
          <w:p>
            <w:pPr>
              <w:pStyle w:val="TableContents"/>
              <w:bidi w:val="0"/>
              <w:spacing w:before="0" w:after="0"/>
              <w:jc w:val="left"/>
              <w:rPr/>
            </w:pPr>
            <w:hyperlink w:anchor="s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hyperlink w:anchor="sTHOF">
              <w:r>
                <w:rPr>
                  <w:rStyle w:val="InternetLink"/>
                  <w:spacing w:val="4"/>
                </w:rPr>
                <w:t>S-4</w:t>
              </w:r>
            </w:hyperlink>
            <w:hyperlink w:anchor="s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3"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hyperlink w:anchor="sRIFA">
              <w:r>
                <w:rPr>
                  <w:rStyle w:val="InternetLink"/>
                  <w:spacing w:val="4"/>
                </w:rPr>
                <w:t>S-6</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3" w:type="dxa"/>
            <w:tcBorders/>
            <w:shd w:fill="CCEEFF" w:val="clear"/>
            <w:tcMar>
              <w:bottom w:w="0" w:type="dxa"/>
            </w:tcMar>
            <w:vAlign w:val="center"/>
          </w:tcPr>
          <w:p>
            <w:pPr>
              <w:pStyle w:val="TableContents"/>
              <w:bidi w:val="0"/>
              <w:spacing w:before="0" w:after="0"/>
              <w:jc w:val="left"/>
              <w:rPr/>
            </w:pPr>
            <w:hyperlink w:anchor="sSNRF">
              <w:r>
                <w:rPr>
                  <w:rStyle w:val="InternetLink"/>
                  <w:spacing w:val="4"/>
                </w:rPr>
                <w:t xml:space="preserve">SPECIAL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hyperlink w:anchor="sSNRF">
              <w:r>
                <w:rPr>
                  <w:rStyle w:val="InternetLink"/>
                  <w:spacing w:val="4"/>
                </w:rPr>
                <w:t>S-8</w:t>
              </w:r>
            </w:hyperlink>
            <w:hyperlink w:anchor="sS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3" w:type="dxa"/>
            <w:tcBorders/>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hyperlink w:anchor="sUOP">
              <w:r>
                <w:rPr>
                  <w:rStyle w:val="InternetLink"/>
                  <w:spacing w:val="4"/>
                </w:rPr>
                <w:t>S-10</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3" w:type="dxa"/>
            <w:tcBorders/>
            <w:shd w:fill="CCEEFF" w:val="clear"/>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hyperlink w:anchor="sUND">
              <w:r>
                <w:rPr>
                  <w:rStyle w:val="InternetLink"/>
                  <w:spacing w:val="4"/>
                </w:rPr>
                <w:t>S-11</w:t>
              </w:r>
            </w:hyperlink>
            <w:hyperlink w:anchor="sUN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3" w:type="dxa"/>
            <w:tcBorders/>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hyperlink w:anchor="sLEMA">
              <w:r>
                <w:rPr>
                  <w:rStyle w:val="InternetLink"/>
                  <w:spacing w:val="4"/>
                </w:rPr>
                <w:t>S-20</w:t>
              </w:r>
            </w:hyperlink>
            <w:hyperlink w:anchor="s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3" w:type="dxa"/>
            <w:tcBorders/>
            <w:shd w:fill="CCEEFF" w:val="clear"/>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hyperlink w:anchor="sEXP">
              <w:r>
                <w:rPr>
                  <w:rStyle w:val="InternetLink"/>
                  <w:spacing w:val="4"/>
                </w:rPr>
                <w:t>S-21</w:t>
              </w:r>
            </w:hyperlink>
            <w:hyperlink w:anchor="s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3" w:type="dxa"/>
            <w:tcBorders/>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hyperlink w:anchor="sWYCF">
              <w:r>
                <w:rPr>
                  <w:rStyle w:val="InternetLink"/>
                  <w:spacing w:val="4"/>
                </w:rPr>
                <w:t>S-22</w:t>
              </w:r>
            </w:hyperlink>
            <w:hyperlink w:anchor="s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3" w:type="dxa"/>
            <w:tcBorders/>
            <w:shd w:fill="CCEEFF" w:val="clear"/>
            <w:tcMar>
              <w:bottom w:w="0" w:type="dxa"/>
            </w:tcMar>
            <w:vAlign w:val="center"/>
          </w:tcPr>
          <w:p>
            <w:pPr>
              <w:pStyle w:val="TableContents"/>
              <w:bidi w:val="0"/>
              <w:spacing w:before="0" w:after="0"/>
              <w:jc w:val="left"/>
              <w:rPr/>
            </w:pPr>
            <w:hyperlink w:anchor="sIBR">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hyperlink w:anchor="sIBR">
              <w:r>
                <w:rPr>
                  <w:rStyle w:val="InternetLink"/>
                  <w:spacing w:val="4"/>
                </w:rPr>
                <w:t>S-23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3"/>
        <w:gridCol w:w="109"/>
        <w:gridCol w:w="109"/>
        <w:gridCol w:w="109"/>
        <w:gridCol w:w="109"/>
        <w:gridCol w:w="409"/>
        <w:gridCol w:w="109"/>
        <w:gridCol w:w="155"/>
      </w:tblGrid>
      <w:tr>
        <w:trPr/>
        <w:tc>
          <w:tcPr>
            <w:tcW w:w="77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SUF2">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UF2">
              <w:r>
                <w:rPr>
                  <w:rStyle w:val="InternetLink"/>
                  <w:spacing w:val="4"/>
                </w:rPr>
                <w:t>1</w:t>
              </w:r>
            </w:hyperlink>
            <w:hyperlink w:anchor="tSUF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4</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NRF">
              <w:r>
                <w:rPr>
                  <w:rStyle w:val="InternetLink"/>
                  <w:spacing w:val="4"/>
                </w:rPr>
                <w:t>5</w:t>
              </w:r>
            </w:hyperlink>
            <w:hyperlink w:anchor="tSN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SWMO">
              <w:r>
                <w:rPr>
                  <w:rStyle w:val="InternetLink"/>
                  <w:spacing w:val="4"/>
                </w:rPr>
                <w:t xml:space="preserve">SECURITIES WE MAY OFFER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WMO">
              <w:r>
                <w:rPr>
                  <w:rStyle w:val="InternetLink"/>
                  <w:spacing w:val="4"/>
                </w:rPr>
                <w:t>8</w:t>
              </w:r>
            </w:hyperlink>
            <w:hyperlink w:anchor="tSWM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14</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LEMA">
              <w:r>
                <w:rPr>
                  <w:rStyle w:val="InternetLink"/>
                  <w:spacing w:val="4"/>
                </w:rPr>
                <w:t>17</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17</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WYCF">
              <w:r>
                <w:rPr>
                  <w:rStyle w:val="InternetLink"/>
                  <w:spacing w:val="4"/>
                </w:rPr>
                <w:t>18</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IBR">
              <w:r>
                <w:rPr>
                  <w:rStyle w:val="InternetLink"/>
                  <w:spacing w:val="4"/>
                </w:rPr>
                <w:t>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part of a registration statement on Form S-3 that we filed with the Securities and Exchange Commission (“SEC”) pursuant to the Securities Act of 1933, as amended (the “Securities Act”), utilizing a “shelf” registration process. We provide information to you about this offering of shares of our common stock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 as our business, financial condition, results of operations and prospects may have changed since the earlier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and the underwriters have not, authorized anyone to provide you with information other than in this prospectus supplement, the accompanying prospectus or any free writing prospectus we may authorize to be delivered or made available to you. We take no responsibility for and cannot provide any assurance as to the reliability of any other information others may give you. We are not, and the underwriters are not, making an offer to sell shares of our common stock in any jurisdiction where the offer or sale is not permitted. The information in this prospectus supplement, the accompanying prospectus or any free writing prospectus is accurate only as of its date, regardless of its time of delivery or of any sale of shares of our common stock. Our business, financial condition, results of operations and prospects may have changed since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supplement, the accompanying prospectus, the documents incorporated by reference into this prospectus supplement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titled “Where You Can Find More Information” and “Incorporation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investors outside the United States: we have not, and the underwriters have not, done anything that would permit this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shares of our common stock and the distribution of this prospectus supplement and the accompanying prospectus outside of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PSS"/>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contained elsewhere or incorporated by reference in this prospectus supplement and the accompanying prospectus and does not contain all of the information that you should consider before deciding to invest in our common stock. You should read this entire prospectus supplement, including the information incorporated by reference herein, the accompanying prospectus and any related free writing prospectus, carefully, including the section titled “Risk Factors” included elsewhere in this prospectus supplement, the accompanying prospectus and any related free writing prospectus, and in the sections titled “Risk Factors” and “Management’s Discussion and Analysis of Financial Condition and Results of Operations” and our consolidated financial statements and the related notes thereto included in our </w:t>
      </w:r>
      <w:hyperlink r:id="rId3">
        <w:r>
          <w:rPr>
            <w:rStyle w:val="InternetLink"/>
          </w:rPr>
          <w:t>Quarterly Report on Form 10-Q for the quarter ended June 30, 2026</w:t>
        </w:r>
      </w:hyperlink>
      <w:r>
        <w:rPr>
          <w:rFonts w:ascii="Times New Roman;Times;serif" w:hAnsi="Times New Roman;Times;serif"/>
          <w:b w:val="false"/>
          <w:i/>
          <w:caps w:val="false"/>
          <w:smallCaps w:val="false"/>
          <w:color w:val="000000"/>
          <w:spacing w:val="4"/>
          <w:sz w:val="20"/>
          <w:bdr w:val="single" w:sz="8" w:space="1" w:color="000000"/>
        </w:rPr>
        <w:t xml:space="preserve"> and </w:t>
      </w:r>
      <w:hyperlink r:id="rId4">
        <w:r>
          <w:rPr>
            <w:rStyle w:val="InternetLink"/>
          </w:rPr>
          <w:t>Current Report on Form 8-K/A filed with the SEC on August 13, 2026</w:t>
        </w:r>
      </w:hyperlink>
      <w:r>
        <w:rPr>
          <w:rFonts w:ascii="Times New Roman;Times;serif" w:hAnsi="Times New Roman;Times;serif"/>
          <w:b w:val="false"/>
          <w:i/>
          <w:caps w:val="false"/>
          <w:smallCaps w:val="false"/>
          <w:color w:val="000000"/>
          <w:spacing w:val="4"/>
          <w:sz w:val="20"/>
          <w:bdr w:val="single" w:sz="8" w:space="1" w:color="000000"/>
        </w:rPr>
        <w:t xml:space="preserve">, before making an investment decision. Some of the statements in this summary constitute forward-looking statements; see the section titled “Special Note Regarding Forward-Looking Statements.” In this prospectus supplement, unless the context requires otherwise, references to “we,” “us,” “our,” “Yarrow” or “the Company” refer to Yarrow Bioscience, Inc.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biotechnology company focused on developing transformative therapies to treat autoimmune thyroid diseases. Our lead product candidate, YB-101 (also known as GenSci098), is a humanized, monoclonal antibody targeting the thyroid-stimulating hormone receptor (“TSHR”), which we plan to develop for the treatment of Graves’ disease (“GD”), and thyroid eye disease (“TED”). Both GD and TED are serious and poorly treated autoimmune diseases in which autoantibodies against TSHR attack and overstimulate the receptor, leading to a wide spectrum of thyroidal and extra-thyroidal clinical sequelae.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YB-101 was designed to selectively bind to TSHR and block autoantibody-induced receptor activation, thereby directly inhibiting the pathogenic activity of thyroid-stimulating autoantibodies that drive disease progression in GD and TED as well as the biological pathway responsible for hyperthyroidism and orbitopathy. We believe that this novel and targeted approach represents a potential breakthrough for patients with GD and TED and has the potential to address an important unmet need for therapies with differentiated risk-benefit profiles.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Results of Operations and Financial Condition as of August 31, 2026</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consolidated financial statements as of and for the three and nine months ended September 30, 2026 are not yet available, and our closing procedures for the month ended August 31, 2026 are not yet complete. We estimate that our cash and cash equivalents as of August 31, 2026 were approximately $108.8 million, as compared to $18.7 million as of June 30,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preliminary estimate is derived from our internal books and records and reflects management’s preliminary determinations based on information currently available. Our financial closing procedures for the period are not complete, and our actual results may differ materially from this estimate as a result of the completion of those procedures, final adjustments, and other developments arising before our financial statements for the period are finalized. This preliminary estimate is not a comprehensive statement of our financial results, is not necessarily indicative of results for any future period and should not be viewed as a substitute for financial statements prepared in accordance with generally accepted accounting principles in the United States of America. You should not place undue reliance on 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preliminary estimate has been prepared by, and is the responsibility of, our management. Baker Tilly US, LLP, our independent registered public accounting firm, has not audited, reviewed, compiled, or performed any procedures with respect to this preliminary estimate. Accordingly, Baker Tilly US, LLP does not express an opinion or any other form of assurance with respect thereto and assumes no responsibility for, and disclaims any association with, this preliminary financial data.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expect the net proceeds from this offering, combined with our existing cash, cash equivalents and investments, to fund operations into 2030, including completion of our Phase 2b GD trial and preparatory work for our next planned TED study. This estimate is based on assumptions that may prove to be wrong, and we could exhaust our available capital resources sooner than expected. See the sections titled “Risk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Factors” and “Special Note Regarding Forward-Looking Statements” included elsewhere in this prospectus supplement for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incorporated in October 2011 as a Delaware corporation under the name Tigercat Pharma, Inc. In September 2020, we changed our name from “Menlo Therapeutics Inc.” to “VYNE Therapeutics Inc.,” following our merger with Foamix Pharmaceuticals Ltd. in March 2020. In July 2026, we changed our name from “VYNE Therapeutics Inc.” to “Yarrow Bioscience, Inc.,” following our merger (the “Merger”) with Yarrow Bioscience Operating Company Corp. (formerly known as Yarrow Bioscience, Inc.) (“Pre-Merger Yarrow”). Our Company prior to the Merger is referred to herein as “Pre-Merger VYNE.”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24, 2026, we effected a 1-for-50 reverse stock split of our common stock (the “Reverse Stock Split”). All references to common stock share and per share amounts in this prospectus supplement are presented on a post-Reverse Stock Split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470 James Street, Suite 007, New Haven, Connecticut 06513 and our telephone number is (203) 433-7577. Our website address is </w:t>
      </w:r>
      <w:r>
        <w:rPr>
          <w:rFonts w:ascii="Times New Roman;Times;serif" w:hAnsi="Times New Roman;Times;serif"/>
          <w:b w:val="false"/>
          <w:i/>
          <w:caps w:val="false"/>
          <w:smallCaps w:val="false"/>
          <w:color w:val="000000"/>
          <w:spacing w:val="4"/>
          <w:sz w:val="20"/>
          <w:bdr w:val="single" w:sz="8" w:space="1" w:color="000000"/>
        </w:rPr>
        <w:t>www.yarrowbioscience.com</w:t>
      </w:r>
      <w:r>
        <w:rPr>
          <w:rFonts w:ascii="Times New Roman;Times;serif" w:hAnsi="Times New Roman;Times;serif"/>
          <w:b w:val="false"/>
          <w:i w:val="false"/>
          <w:caps w:val="false"/>
          <w:smallCaps w:val="false"/>
          <w:color w:val="000000"/>
          <w:spacing w:val="4"/>
          <w:sz w:val="20"/>
          <w:bdr w:val="single" w:sz="8" w:space="1" w:color="000000"/>
        </w:rPr>
        <w:t xml:space="preserve">. The information contained on, or accessible through, our website is not incorporated by reference into this prospectus or the accompanying base prospectus. We have included our website in this prospectus solely as an inactive textual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make available on or through our website certain reports and amendments to those reports that we file with, or furnish to, the SEC in accordance with the Securities Exchange Act of 1934, as amended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currently a “smaller reporting company” as defined in Item 10(f)(1) of Regulation S-K. Smaller reporting companies may take advantage of certain reduced disclosure obligations, including, among other things, providing only two years of audited financial statements. We may continue to be a smaller reporting company if either (i) the market value of our stock held by non-affiliates is less than $250.0 million or (ii) our annual revenue was less than $100.0 million during the most recently completed fiscal year and the market value of our stock held by non-affiliates is less than $700.0 million. Specifically, as a smaller reporting company we may choose to present only the two most recent fiscal years of audited financial statements in our Annual Report on Form 10-K and have reduced disclosure obligations regarding executive compensation.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THO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72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offered by us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5,769,231 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 to purchase additional shares of common stock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underwriters have a 30-day option to purchase up to 865,384 additional shares of our common stock at the public offering price, less underwriting discounts and commissions.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to be outstanding immediately after this offering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8,572,309 shares, or 9,437,693 shares if the underwriters exercise their option to purchase additional shares of our common stock in full.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estimate that our net proceeds from this offering will be approximately $140.7 million (or approximately $161.8 million if the underwriters exercise in full their option to purchase additional shares of our common stock), based on the public offering price of $26.00 per share, after deducting the underwriting discounts and commissions and estimated offering expenses and advisory fees payable by 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use the net proceeds of this offering, together with our existing cash, cash equivalents and investments, to fund research and development expenses for our pipeline and general corporate purposes, which may include working capital, capital expenditures and other general corporate purposes. See the section titled “Use of Proceeds” for additional information.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should carefully read and consider the information set forth in the section titled “Risk Factors,” together with all of the other information included in or incorporated by reference, in this prospectus supplement before deciding whether to invest in our common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Capital Market trading symbol </w:t>
      </w:r>
    </w:p>
    <w:p>
      <w:pPr>
        <w:pStyle w:val="TextBody"/>
        <w:bidi w:val="0"/>
        <w:spacing w:lineRule="atLeast" w:line="240" w:before="0" w:after="283"/>
        <w:ind w:left="4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YARW.”</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information in this prospectus supplement related to the number of shares of our common stock to be outstanding immediately after this offering is based on 2,803,078 shares of our common stock outstanding as of June 30, 2026 on a pro forma basis, as set forth in our unaudited pro forma condensed combined financial information as of June 30, 2026 included in our Current Report on Form 8-K/A filed with the SEC on August 13, 2026, which gives effect to the Merger and combines the historical balance sheets of Pre-Merger VYNE and Pre-Merger Yarrow as if the Merger had been consummated as of such date. The pro forma number of shares of our common stock outstanding as of June 30, 2026 as used throughout this prospectus supplement, unless otherwise indicated, excludes: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2,002,282 shares of common stock issuable on a pro forma basis upon the exercise of stock options outstanding as of June 30, 2026, at a weighted-average exercise price of $6.19 per share;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25,781,240 shares of common stock issuable on a pro forma basis upon the exercise of pre-funded warrants outstanding as of June 30, 2026, at a weighted-average exercise price of $0.0001 per share;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2,688,931 shares of common stock reserved for future issuance on a pro forma basis under the 2026 Stock Incentive Plan as of June 30, 2026; and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336,116 shares of common stock reserved for future issuance on a pro forma basis under the 2026 Employee Stock Purchase Plan as of June 30, 2026.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Except as otherwise indicated, all information in this prospectus supplement assumes: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exercise of outstanding options, warrants or pre-funded warrants after June 30, 2026; and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exercise of the underwriters’ option to purchase additional shares of our common stock.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Up to $50.0 million of shares of our common stock were available for sale under the Amended and Restated Sales Agreement (the “Amended and Restated Sales Agreement”) that we entered into on August 13, 2026 with TD Securities (USA) LLC, as sales agent. As of the date of this prospectus supplement, we have not sold any shares of our common stock under the Amended and Restated Sales Agreement. We have agreed not to make any sales under the Amended and Restated Sales Agreement prior to 30 days from the date of this prospectus supplement unless the underwriters have exercised their option to purchase additional shares in full and all such additional shares have been issued.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Investing in our common stock involves a high degree of risk. Before you decide to invest in our common stock, you should consider carefully the risks described below, as well as the risks set forth under the section titled “Risk Factors” in our Quarterly Report on Form 10-Q for the quarter ended June 30, 2026, which is incorporated by reference herein. You should also refer to the other information contained in this prospectus supplement, the accompanying prospectus, any related free writing prospectus and the documents incorporated by reference herein, including our consolidated financial statements and the related notes and the section titled “Management’s Discussion and Analysis of Financial Condition and Results of Operations” included in our </w:t>
      </w:r>
      <w:hyperlink r:id="rId5">
        <w:r>
          <w:rPr>
            <w:rStyle w:val="InternetLink"/>
          </w:rPr>
          <w:t>Quarterly Report on Form 10-Q for the quarter ended June 30, 2026</w:t>
        </w:r>
      </w:hyperlink>
      <w:r>
        <w:rPr>
          <w:rFonts w:ascii="Times New Roman;Times;serif" w:hAnsi="Times New Roman;Times;serif"/>
          <w:b w:val="false"/>
          <w:i/>
          <w:caps w:val="false"/>
          <w:smallCaps w:val="false"/>
          <w:color w:val="000000"/>
          <w:spacing w:val="4"/>
          <w:sz w:val="20"/>
        </w:rPr>
        <w:t xml:space="preserve"> and </w:t>
      </w:r>
      <w:hyperlink r:id="rId6">
        <w:r>
          <w:rPr>
            <w:rStyle w:val="InternetLink"/>
          </w:rPr>
          <w:t>Current Report on Form 8-K/A filed with the SEC on August 13, 2026</w:t>
        </w:r>
      </w:hyperlink>
      <w:r>
        <w:rPr>
          <w:rFonts w:ascii="Times New Roman;Times;serif" w:hAnsi="Times New Roman;Times;serif"/>
          <w:b w:val="false"/>
          <w:i/>
          <w:caps w:val="false"/>
          <w:smallCaps w:val="false"/>
          <w:color w:val="000000"/>
          <w:spacing w:val="4"/>
          <w:sz w:val="20"/>
        </w:rPr>
        <w:t xml:space="preserve">. We believe these risks are the risks that are material to us as of the date of this prospectus supplement. If any of these risks actually occur, our business, financial condition, results of operations and future growth prospects could be materially and adversely affected. In these circumstances, the market price of our common stock could decline, and you may lose all or part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price of our stock may be volatile, and you could lose all or part of your investment.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price of our common stock has fluctuated, and is likely to continue to fluctuate substantially in response to various factors, some of which are beyond our control, including the factors discussed in this “Risk Factors” section and elsewhere in this prospectus supplement, the accompanying prospectus and the documents incorporated by reference herein. The realization of any of these factors could have a dramatic and adverse impact on the market price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stock market in general, and the market for biotechnology and biopharmaceutical companies in particular, have historically been particularly volatile and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does not exceed the price at which you purchase your shares,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experience future dilution as a result of future equity offerings.</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sale of a substantial number of shares of our common stock may cause the price of our common stock to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predict what effect, if any, future sales of our shares in the public market or the availability of shares for sale will have on the market price of our common stock. However, future sales of substantial amounts of our common stock in the public market, including shares issued upon exercise of option awards or shares sold pursuant to the Amended and Restated Sales Agreement, or the perception that such sales may occur, could adversely affect the market price of our common stock. We also expect that significant additional capital will be needed in the future to continue our planned operations. To raise capital, we may sell common stock, convertible securities or other equity securities in one or more transactions at prices and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manner we determine from time to time. These sales, or the perception in the market that the holders of a large number of shares intend to sell shares, could reduce the market price of our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Participation in this offering by certain of our existing stockholders and their affiliated entities may reduce the public float for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our existing stockholders and their affiliated entities purchase shares of our common stock in this offering, such purchases would reduce the available public float of our common stock because such purchasers would be restricted from selling such shares during the 60-day period following this offering and thereafter would be subject to volume limitations pursuant to restrictions under applicable securities laws. As a result, any purchase of shares of our common stock by our existing stockholders and their affiliated entities in this offering will reduce the liquidity of our common stock relative to what it would have been had these shares been purchased by investors that were not our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broad discretion in the use of the net proceeds from this offering and may not use them effectively.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will have broad discretion in the application of the net proceeds from this offering, including for the purposes described in the section titled “Use of Proceeds,” and you will be relying on the judgment of our management regarding the application of these proceeds. You will not have the opportunity, as part of your investment decision, to assess whether the proceeds are being used appropriately. Our management might not apply the proceeds in ways that ultimately increase or maintain the value of your investment. If we do not invest or apply the proceeds from this offering in ways that enhance stockholder value, we may fail to achieve expected financial results, which could cause our stock price to decline.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SNRF"/>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and the information incorporated by reference herein and therein contain “forward-looking statements” within the meaning of the federal securities laws, which statements are subject to substantial risks and uncertainties and are based on estimates and assumptions. All statements, other than statements of historical facts, included in this prospectus supplement, the accompanying prospectus and the information incorporated by reference herein and therein, including, without limitation, statements concerning our plans, objectives, goals, expectations, hopes, beliefs, intentions, assumptions, projections, estimates or strategies and any underlying assumptions regarding the future, our future results of operations and financial position, and other information referred to under the sections titled “Prospectus Supplement Summary” and “Risk Factors” in this prospectus supplement and the sections titled “Risk Factors,” “Management’s Discussion and Analysis of Financial Condition and Results of Operations” in our </w:t>
      </w:r>
      <w:hyperlink r:id="rId7">
        <w:r>
          <w:rPr>
            <w:rStyle w:val="InternetLink"/>
          </w:rPr>
          <w:t>Quarterly Report on Form 10-Q for the quarter ended June 30, 2026</w:t>
        </w:r>
      </w:hyperlink>
      <w:r>
        <w:rPr>
          <w:rFonts w:ascii="Times New Roman;Times;serif" w:hAnsi="Times New Roman;Times;serif"/>
          <w:b w:val="false"/>
          <w:i w:val="false"/>
          <w:caps w:val="false"/>
          <w:smallCaps w:val="false"/>
          <w:color w:val="000000"/>
          <w:spacing w:val="4"/>
          <w:sz w:val="20"/>
        </w:rPr>
        <w:t xml:space="preserve">, which is incorporated by reference herein, are forward-looking statements. In some cases, you can identify forward-looking statements by terms such as “aim,” “may,” “might,” “will,” “would,” “shall,” “objective,” “intend,” “target,” “should,” “could,” “can,” “expect,” “anticipate,” “believe,” “design,” “estimate,” “forecast,” “predict,” “project,” “potential,” “possible,” “plan,” “seek,” “contemplate,” “goal,” “likely” or “continue” or the negative of these terms and similar expressions intended to identify forward-looking statements, but the absence of these terms does not mean that a statement is not forward-looking. Forward-looking statements are not historical facts and are based on our current expectations and beliefs with respect to future events and their potential effects and impacts. There can be no assurance that future events affecting us will be those that have been anticipated. Given the significant risks and uncertainties, you should not place undue reliance on these forward-looking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a number of risks, uncertainties and other factors that could cause our actual results or outcomes, or the timing of our results or outcomes, to differ materially from the forward-looking statements expressed or implied in this prospectus supplement and the accompanying prospectus. Such risks, uncertainties and other factors include, among others,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execute on our strategy for the development of YB-101;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cost and timing of our planned filing of investigational drug applications or their equivalents, planned product development activities, and initiation of clinical trials of our current product candidates, including YB-101, and any future product candidates; </w:t>
      </w:r>
      <w:r>
        <mc:AlternateContent>
          <mc:Choice Requires="wps">
            <w:drawing>
              <wp:anchor behindDoc="0" distT="7366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the continued service of our directors, officers, key employees and consultants;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continue to grow and manage our growth effectively;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regulatory approval for our current or future product candidates that we may identify or develop;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ensure adequate supply of our current or future product candidates;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third-party relationships necessary to conduct our business;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an adequate safety or efficacy profile for our current or future product candidates that we may pursue;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and execution of our strategic plans for our business, our current or future product candidates we may develop and our technology;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intellectual property position, including the scope of protection we are able to establish and maintain for intellectual property rights covering our product candidates and technology;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and degree of market acceptance and clinical utility for our current or future product candidates we may develop;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about the size of our market opportunity;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expenses, future revenues, capital requirements and our needs for additional financing;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and establish collaborations;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performance and liquidity; </w:t>
      </w:r>
      <w:r>
        <mc:AlternateContent>
          <mc:Choice Requires="wps">
            <w:drawing>
              <wp:anchor behindDoc="0" distT="0" distB="0" distL="254000" distR="0" simplePos="0" locked="0" layoutInCell="1" allowOverlap="1" relativeHeight="26">
                <wp:simplePos x="0" y="0"/>
                <wp:positionH relativeFrom="column">
                  <wp:align>left</wp:align>
                </wp:positionH>
                <wp:positionV relativeFrom="line">
                  <wp:posOffset>635</wp:posOffset>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relating to our competitors and our industry, including the impact of government regulation;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the continued service of our key professionals and consultants and to identify, hire and retain additional qualified professionals;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adequate internal controls over financial reporting;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global economic uncertainty and financial market volatility caused by economic effects of volatility in inflation and interest rates, tariffs, geopolitical instability, changes in international trade relationships and conflicts;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uncertainties, including those incorporated by reference under the section titled “Risk Factors”; and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anticipated use of our existing resources and the proceeds from this offering.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may be other factors that may cause our actual results or outcomes, or the timing of those results or outcomes, to differ materially from the forward-looking statements expressed or implied in this prospectus supplement and the accompanying prospectus, including factors disclosed in the section titled “Risk Factors” included in this prospectus supplement and the accompanying prospectus and the sections titled “Risk Factors” and “Management’s Discussion and Analysis of Financial Condition and Results of Operations” included in our Quarterly Report on Form 10-Q for the quarter ended June 30, 2026 and Current Report on Form 8-K/A filed with the SEC on August 13, 2026. You should evaluate all forward-looking statements made in this prospectus supplement and the accompanying prospectus in the context of these risks and uncertainties.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that the risks, uncertainties and other factors referred to above and elsewhere in this prospectus supplement and the accompanying prospectus and in the documents incorporated by reference herein may not contain all of the risks, uncertainties and other factors that may affect us, our future results, operations and outcomes. Moreover, new risks emerge from time to time. It is not possible for us to predict all risks. In addition, we cannot assure you that we will realize the results, benefits or developments that we expect or anticipate or, even if substantially realized, that they will result in the consequences or affect us or our business in the way expected. Past performance is not indicative of future performance.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forward-looking statements in this prospectus supplement, the accompanying prospectus and the documents incorporated by reference herein and therein apply only as of the date made and are expressly qualified in their entirety by the cautionary statements included in this prospectus supplement. Except as required by law, we disclaim any intent to publicly update or revise any forward-looking statements, whether as a result of new information, future events, changes in assumptions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statements that “we believe” and similar statements reflect our beliefs and opinions on the relevant subject. These statements are based upon information available to us as of the date of this prospectus supplement, and while we believe we have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we will receive net proceeds of approximately $140.7 million (or approximately $161.8 million if the underwriters’ option to purchase additional shares is exercised in full) from the sale of the shares of common stock offered by us in this offering, based on the public offering price of $26.00 per share of common stock, after deducting the underwriting discounts and commissions and estimated offering expenses and advisory fees payable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of this offering, together with our existing cash, cash equivalents and investments, to fund research and development expenses for our pipeline and general corporate purposes, which may include working capital, capital expenditures and other general corporate purposes. We may use a portion of the proceeds to license, acquire or invest in new product candidates or for drug development activities related to such product candidates, complementary businesses, technology or assets; however, we have no current commitments to do so. The amount and timing of our actual expenditures will depend on numerous factors. As a result, our management will have broad discretion over the use of the proceeds from this offering. We expect the net proceeds from this offering, combined with our existing cash, cash equivalents and investments, to fund operations into 2030, including completion of our Phase 2b GD trial and preparatory work for our next planned TED study.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amounts that we will actually spend on the uses set forth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amount will not be sufficient for us to fund our product candidate through regulatory approval and commercialization, and we will need to raise substantial additional capital in order to do so. Until we achieve profitability, we plan to fund our operations and capital expenditures with cash on hand and expect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or from grants.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Pending the use of the net proceeds from this offering, we intend to invest the proceeds in a variety of capital preservation investments, including interest-bearing, investment-grade securities, certificates of deposit or government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UND"/>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2"/>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the underwriting agreement, dated September 10, 2026, among us and Jefferies LLC, TD Securities (USA) LLC and Guggenheim Securities, LLC,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 </w:t>
      </w:r>
    </w:p>
    <w:tbl>
      <w:tblPr>
        <w:tblW w:w="4820" w:type="dxa"/>
        <w:jc w:val="left"/>
        <w:tblInd w:w="1393" w:type="dxa"/>
        <w:tblLayout w:type="fixed"/>
        <w:tblCellMar>
          <w:top w:w="0" w:type="dxa"/>
          <w:left w:w="0" w:type="dxa"/>
          <w:bottom w:w="43" w:type="dxa"/>
          <w:right w:w="0" w:type="dxa"/>
        </w:tblCellMar>
      </w:tblPr>
      <w:tblGrid>
        <w:gridCol w:w="3055"/>
        <w:gridCol w:w="109"/>
        <w:gridCol w:w="109"/>
        <w:gridCol w:w="109"/>
        <w:gridCol w:w="109"/>
        <w:gridCol w:w="1066"/>
        <w:gridCol w:w="109"/>
        <w:gridCol w:w="154"/>
      </w:tblGrid>
      <w:tr>
        <w:trPr/>
        <w:tc>
          <w:tcPr>
            <w:tcW w:w="3055"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NUMBER</w:t>
            </w:r>
            <w:r>
              <w:rPr/>
              <w:t xml:space="preserve"> </w:t>
              <w:br/>
            </w:r>
            <w:r>
              <w:rPr>
                <w:spacing w:val="-3"/>
              </w:rPr>
              <w:t>OF</w:t>
            </w:r>
            <w:r>
              <w:rPr/>
              <w:t xml:space="preserve"> </w:t>
              <w:br/>
            </w:r>
            <w:r>
              <w:rPr>
                <w:spacing w:val="-3"/>
              </w:rPr>
              <w:t>SHARES</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55" w:type="dxa"/>
            <w:tcBorders/>
            <w:shd w:fill="CCEEFF" w:val="clear"/>
            <w:tcMar>
              <w:bottom w:w="0" w:type="dxa"/>
            </w:tcMar>
            <w:vAlign w:val="center"/>
          </w:tcPr>
          <w:p>
            <w:pPr>
              <w:pStyle w:val="TableContents"/>
              <w:bidi w:val="0"/>
              <w:spacing w:before="0" w:after="0"/>
              <w:jc w:val="left"/>
              <w:rPr>
                <w:spacing w:val="4"/>
              </w:rPr>
            </w:pPr>
            <w:r>
              <w:rPr>
                <w:spacing w:val="4"/>
              </w:rPr>
              <w:t xml:space="preserve">Jefferies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2,163,462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55" w:type="dxa"/>
            <w:tcBorders/>
            <w:tcMar>
              <w:bottom w:w="0" w:type="dxa"/>
            </w:tcMar>
            <w:vAlign w:val="center"/>
          </w:tcPr>
          <w:p>
            <w:pPr>
              <w:pStyle w:val="TableContents"/>
              <w:bidi w:val="0"/>
              <w:spacing w:before="0" w:after="0"/>
              <w:jc w:val="left"/>
              <w:rPr>
                <w:spacing w:val="4"/>
              </w:rPr>
            </w:pPr>
            <w:r>
              <w:rPr>
                <w:spacing w:val="4"/>
              </w:rPr>
              <w:t xml:space="preserve">TD Securities (USA)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1,730,770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55" w:type="dxa"/>
            <w:tcBorders/>
            <w:shd w:fill="CCEEFF" w:val="clear"/>
            <w:tcMar>
              <w:bottom w:w="0" w:type="dxa"/>
            </w:tcMar>
            <w:vAlign w:val="center"/>
          </w:tcPr>
          <w:p>
            <w:pPr>
              <w:pStyle w:val="TableContents"/>
              <w:bidi w:val="0"/>
              <w:spacing w:before="0" w:after="0"/>
              <w:jc w:val="left"/>
              <w:rPr>
                <w:spacing w:val="4"/>
              </w:rPr>
            </w:pPr>
            <w:r>
              <w:rPr>
                <w:spacing w:val="4"/>
              </w:rPr>
              <w:t xml:space="preserve">Guggenheim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1,153,846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55" w:type="dxa"/>
            <w:tcBorders/>
            <w:tcMar>
              <w:bottom w:w="0" w:type="dxa"/>
            </w:tcMar>
            <w:vAlign w:val="center"/>
          </w:tcPr>
          <w:p>
            <w:pPr>
              <w:pStyle w:val="TableContents"/>
              <w:bidi w:val="0"/>
              <w:spacing w:before="0" w:after="0"/>
              <w:jc w:val="left"/>
              <w:rPr>
                <w:spacing w:val="4"/>
              </w:rPr>
            </w:pPr>
            <w:r>
              <w:rPr>
                <w:spacing w:val="4"/>
              </w:rPr>
              <w:t xml:space="preserve">LifeSci Capital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721,153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5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5,769,231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shares of common stock subject to their acceptance of the shares of common stock from us and subject to prior sale. The underwriters reserve the right to withdraw, cancel or modify offers to the public and to reject orders in whole or in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Commission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they propose to offer the shares of common stock at the public offering price set forth on the cover page of this prospectus supplement and to certain dealers, which may include the underwriters, at that price less a concession not in excess of $0.936 per share of common stock. After the offering, the public offering price and concession to dealers may be reduced by the representatives. No such reduction will change the amount of proceeds to be received by us as set forth on the cover page of this prospectus supplement.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2752"/>
        <w:gridCol w:w="109"/>
        <w:gridCol w:w="109"/>
        <w:gridCol w:w="109"/>
        <w:gridCol w:w="226"/>
        <w:gridCol w:w="666"/>
        <w:gridCol w:w="109"/>
        <w:gridCol w:w="109"/>
        <w:gridCol w:w="109"/>
        <w:gridCol w:w="109"/>
        <w:gridCol w:w="226"/>
        <w:gridCol w:w="1626"/>
        <w:gridCol w:w="109"/>
        <w:gridCol w:w="109"/>
        <w:gridCol w:w="109"/>
        <w:gridCol w:w="109"/>
        <w:gridCol w:w="226"/>
        <w:gridCol w:w="1626"/>
        <w:gridCol w:w="109"/>
        <w:gridCol w:w="156"/>
      </w:tblGrid>
      <w:tr>
        <w:trPr/>
        <w:tc>
          <w:tcPr>
            <w:tcW w:w="27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w:t>
            </w:r>
            <w:r>
              <w:rPr/>
              <w:t xml:space="preserve"> </w:t>
              <w:br/>
            </w:r>
            <w:r>
              <w:rPr>
                <w:spacing w:val="-3"/>
              </w:rPr>
              <w:t>Share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7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Without </w:t>
            </w:r>
            <w:r>
              <w:rPr/>
              <w:br/>
            </w:r>
            <w:r>
              <w:rPr>
                <w:spacing w:val="-3"/>
              </w:rPr>
              <w:t>Option to</w:t>
            </w:r>
            <w:r>
              <w:rPr/>
              <w:t xml:space="preserve"> </w:t>
              <w:br/>
            </w:r>
            <w:r>
              <w:rPr>
                <w:spacing w:val="-3"/>
              </w:rPr>
              <w:t>Purchase</w:t>
            </w:r>
            <w:r>
              <w:rPr/>
              <w:t xml:space="preserve"> </w:t>
              <w:br/>
            </w:r>
            <w:r>
              <w:rPr>
                <w:spacing w:val="-3"/>
              </w:rPr>
              <w:t xml:space="preserve">Additional </w:t>
            </w:r>
            <w:r>
              <w:rPr/>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7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With </w:t>
            </w:r>
            <w:r>
              <w:rPr/>
              <w:br/>
            </w:r>
            <w:r>
              <w:rPr>
                <w:spacing w:val="-3"/>
              </w:rPr>
              <w:t>Option to</w:t>
            </w:r>
            <w:r>
              <w:rPr/>
              <w:t xml:space="preserve"> </w:t>
              <w:br/>
            </w:r>
            <w:r>
              <w:rPr>
                <w:spacing w:val="-3"/>
              </w:rPr>
              <w:t>Purchase</w:t>
            </w:r>
            <w:r>
              <w:rPr/>
              <w:t xml:space="preserve"> </w:t>
              <w:br/>
            </w:r>
            <w:r>
              <w:rPr>
                <w:spacing w:val="-3"/>
              </w:rPr>
              <w:t xml:space="preserve">Additional </w:t>
            </w:r>
            <w:r>
              <w:rPr/>
              <w:br/>
            </w:r>
            <w:r>
              <w:rPr>
                <w:spacing w:val="-3"/>
              </w:rPr>
              <w:t xml:space="preserve">Shares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752"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66" w:type="dxa"/>
            <w:tcBorders/>
            <w:shd w:fill="CCEEFF" w:val="clear"/>
            <w:tcMar>
              <w:bottom w:w="0" w:type="dxa"/>
            </w:tcMar>
            <w:vAlign w:val="center"/>
          </w:tcPr>
          <w:p>
            <w:pPr>
              <w:pStyle w:val="TableContents"/>
              <w:bidi w:val="0"/>
              <w:spacing w:before="0" w:after="283"/>
              <w:jc w:val="right"/>
              <w:rPr/>
            </w:pPr>
            <w:r>
              <w:rPr/>
              <w:t xml:space="preserve">26.00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626" w:type="dxa"/>
            <w:tcBorders/>
            <w:shd w:fill="CCEEFF" w:val="clear"/>
            <w:tcMar>
              <w:bottom w:w="0" w:type="dxa"/>
            </w:tcMar>
            <w:vAlign w:val="center"/>
          </w:tcPr>
          <w:p>
            <w:pPr>
              <w:pStyle w:val="TableContents"/>
              <w:bidi w:val="0"/>
              <w:spacing w:before="0" w:after="283"/>
              <w:jc w:val="right"/>
              <w:rPr/>
            </w:pPr>
            <w:r>
              <w:rPr/>
              <w:t xml:space="preserve">150,000,006.00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626" w:type="dxa"/>
            <w:tcBorders/>
            <w:shd w:fill="CCEEFF" w:val="clear"/>
            <w:tcMar>
              <w:bottom w:w="0" w:type="dxa"/>
            </w:tcMar>
            <w:vAlign w:val="center"/>
          </w:tcPr>
          <w:p>
            <w:pPr>
              <w:pStyle w:val="TableContents"/>
              <w:bidi w:val="0"/>
              <w:spacing w:before="0" w:after="283"/>
              <w:jc w:val="right"/>
              <w:rPr/>
            </w:pPr>
            <w:r>
              <w:rPr/>
              <w:t xml:space="preserve">172,499,990.00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752" w:type="dxa"/>
            <w:tcBorders/>
            <w:tcMar>
              <w:bottom w:w="0" w:type="dxa"/>
            </w:tcMar>
            <w:vAlign w:val="center"/>
          </w:tcPr>
          <w:p>
            <w:pPr>
              <w:pStyle w:val="TableContents"/>
              <w:bidi w:val="0"/>
              <w:spacing w:before="0" w:after="0"/>
              <w:jc w:val="left"/>
              <w:rPr>
                <w:spacing w:val="4"/>
              </w:rPr>
            </w:pPr>
            <w:r>
              <w:rPr>
                <w:spacing w:val="4"/>
              </w:rPr>
              <w:t xml:space="preserve">Underwriting discounts and commissions paid by 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6" w:type="dxa"/>
            <w:tcBorders/>
            <w:tcMar>
              <w:bottom w:w="0" w:type="dxa"/>
            </w:tcMar>
            <w:vAlign w:val="center"/>
          </w:tcPr>
          <w:p>
            <w:pPr>
              <w:pStyle w:val="TableContents"/>
              <w:bidi w:val="0"/>
              <w:spacing w:before="0" w:after="283"/>
              <w:jc w:val="right"/>
              <w:rPr/>
            </w:pPr>
            <w:r>
              <w:rPr/>
              <w:t xml:space="preserve">1.56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626" w:type="dxa"/>
            <w:tcBorders/>
            <w:tcMar>
              <w:bottom w:w="0" w:type="dxa"/>
            </w:tcMar>
            <w:vAlign w:val="center"/>
          </w:tcPr>
          <w:p>
            <w:pPr>
              <w:pStyle w:val="TableContents"/>
              <w:bidi w:val="0"/>
              <w:spacing w:before="0" w:after="283"/>
              <w:jc w:val="right"/>
              <w:rPr/>
            </w:pPr>
            <w:r>
              <w:rPr/>
              <w:t xml:space="preserve">9,000,000.36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626" w:type="dxa"/>
            <w:tcBorders/>
            <w:tcMar>
              <w:bottom w:w="0" w:type="dxa"/>
            </w:tcMar>
            <w:vAlign w:val="center"/>
          </w:tcPr>
          <w:p>
            <w:pPr>
              <w:pStyle w:val="TableContents"/>
              <w:bidi w:val="0"/>
              <w:spacing w:before="0" w:after="283"/>
              <w:jc w:val="right"/>
              <w:rPr/>
            </w:pPr>
            <w:r>
              <w:rPr/>
              <w:t xml:space="preserve">10,349,999.40 </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752" w:type="dxa"/>
            <w:tcBorders/>
            <w:shd w:fill="CCEEFF" w:val="clear"/>
            <w:tcMar>
              <w:bottom w:w="0" w:type="dxa"/>
            </w:tcMar>
            <w:vAlign w:val="center"/>
          </w:tcPr>
          <w:p>
            <w:pPr>
              <w:pStyle w:val="TableContents"/>
              <w:bidi w:val="0"/>
              <w:spacing w:before="0" w:after="0"/>
              <w:jc w:val="left"/>
              <w:rPr>
                <w:spacing w:val="4"/>
              </w:rPr>
            </w:pPr>
            <w:r>
              <w:rPr>
                <w:spacing w:val="4"/>
              </w:rPr>
              <w:t xml:space="preserve">Proceeds to us,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66" w:type="dxa"/>
            <w:tcBorders/>
            <w:shd w:fill="CCEEFF" w:val="clear"/>
            <w:tcMar>
              <w:bottom w:w="0" w:type="dxa"/>
            </w:tcMar>
            <w:vAlign w:val="center"/>
          </w:tcPr>
          <w:p>
            <w:pPr>
              <w:pStyle w:val="TableContents"/>
              <w:bidi w:val="0"/>
              <w:spacing w:before="0" w:after="283"/>
              <w:jc w:val="right"/>
              <w:rPr/>
            </w:pPr>
            <w:r>
              <w:rPr/>
              <w:t xml:space="preserve">24.44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626" w:type="dxa"/>
            <w:tcBorders/>
            <w:shd w:fill="CCEEFF" w:val="clear"/>
            <w:tcMar>
              <w:bottom w:w="0" w:type="dxa"/>
            </w:tcMar>
            <w:vAlign w:val="center"/>
          </w:tcPr>
          <w:p>
            <w:pPr>
              <w:pStyle w:val="TableContents"/>
              <w:bidi w:val="0"/>
              <w:spacing w:before="0" w:after="283"/>
              <w:jc w:val="right"/>
              <w:rPr/>
            </w:pPr>
            <w:r>
              <w:rPr/>
              <w:t xml:space="preserve">141,000,005.64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626" w:type="dxa"/>
            <w:tcBorders/>
            <w:shd w:fill="CCEEFF" w:val="clear"/>
            <w:tcMar>
              <w:bottom w:w="0" w:type="dxa"/>
            </w:tcMar>
            <w:vAlign w:val="center"/>
          </w:tcPr>
          <w:p>
            <w:pPr>
              <w:pStyle w:val="TableContents"/>
              <w:bidi w:val="0"/>
              <w:spacing w:before="0" w:after="283"/>
              <w:jc w:val="right"/>
              <w:rPr/>
            </w:pPr>
            <w:r>
              <w:rPr/>
              <w:t>162,149,990.60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expenses payable by us in connection with this offering, other than the underwriting discounts and commissions referred to above, will be approximately $350,000. Certain expenses payable by us in connection with this offering may be reimbursed by the underwriters. We have agreed to reimburse the underwriters for certain of their expenses.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Capital Market under the trading symbol “YARW.”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Stamp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purchase shares of common stock offered in this prospectus supplement, you may be required to pay stamp taxes and other charges under the laws and practices of the country of purchase, in addition to the offering price listed on the cover page of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to Purchase Additional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granted to the underwriters an option, exercisable for 30 days from the date of this prospectus supplement, to purchase, from time to time, in whole or in part, up to an aggregate of 865,384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Sales of Similar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our officers and directors have agreed, subject to specified exceptions, not to directly or indirectly: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offer, contract or grant any option to sell (including any short sale), pledge, transfer, establish an open “put equivalent position” within the meaning of Rule 16a-l(h) under the Exchange Act, or </w:t>
      </w:r>
      <w:r>
        <mc:AlternateContent>
          <mc:Choice Requires="wps">
            <w:drawing>
              <wp:anchor behindDoc="0" distT="7112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otherwise dispose of any shares of common stock, options or warrants to acquire shares of common stock, or securities exchangeable or exercisable for or convertible into shares of common stock currently or hereafter owned either of record or beneficially, or </w:t>
      </w:r>
      <w:r>
        <mc:AlternateContent>
          <mc:Choice Requires="wps">
            <w:drawing>
              <wp:anchor behindDoc="0" distT="6731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 announce an intention to do any of the foregoing for a period of 60 days after the date of this prospectus supplement without the prior written consent of Jefferies LLC and TD Securities (USA) LLC. </w:t>
      </w:r>
      <w:r>
        <mc:AlternateContent>
          <mc:Choice Requires="wps">
            <w:drawing>
              <wp:anchor behindDoc="0" distT="6731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restriction terminates after the close of trading of the common stock on and including the 60th day after the date of this prospectus supplement. Notwithstanding the foregoing, the securityholder may transfer shares of common stock, or securities exchangeable or exercisable for or convertible into shares of common stock: </w:t>
      </w:r>
    </w:p>
    <w:p>
      <w:pPr>
        <w:pStyle w:val="TextBody"/>
        <w:bidi w:val="0"/>
        <w:spacing w:lineRule="atLeast" w:line="240" w:before="1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bona fide gift, or by will or intestate succession to a family member or to a trust whose beneficiaries consist exclusively of one or more of the securityholder and/or a family member; </w:t>
      </w:r>
      <w:r>
        <mc:AlternateContent>
          <mc:Choice Requires="wps">
            <w:drawing>
              <wp:anchor behindDoc="0" distT="95250" distB="0" distL="2540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a court order in respect of, or by operation of law as a result of, a divorce; </w:t>
      </w:r>
      <w:r>
        <mc:AlternateContent>
          <mc:Choice Requires="wps">
            <w:drawing>
              <wp:anchor behindDoc="0" distT="93980" distB="0" distL="254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securityholder is not an individual, to any affiliate of the securityholder, or to the limited partners, general partners, limited liability company members, trust beneficiaries or stockholders of the securityholder, in each case if such transfer is not for value; </w:t>
      </w:r>
      <w:r>
        <mc:AlternateContent>
          <mc:Choice Requires="wps">
            <w:drawing>
              <wp:anchor behindDoc="0" distT="93980" distB="0" distL="254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relating to shares of common stock acquired in this offering or in open market transactions after the completion of this offering; </w:t>
      </w:r>
      <w:r>
        <mc:AlternateContent>
          <mc:Choice Requires="wps">
            <w:drawing>
              <wp:anchor behindDoc="0" distT="0" distB="0" distL="254000" distR="0" simplePos="0" locked="0" layoutInCell="1" allowOverlap="1" relativeHeight="39">
                <wp:simplePos x="0" y="0"/>
                <wp:positionH relativeFrom="column">
                  <wp:align>left</wp:align>
                </wp:positionH>
                <wp:positionV relativeFrom="line">
                  <wp:posOffset>635</wp:posOffset>
                </wp:positionV>
                <wp:extent cx="254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us upon the exercise of options or warrants or the vesting of restricted stock units, in each case to cover tax withholding obligations in connection with such exercise or vesting or for the primary purpose of paying the exercise price of options or warrants to acquire shares of common stock, pursuant to a stock option, stock bonus or other stock plan or arrangement, or warrants, existing as of the date of the lock-up agreement or described in this prospectus supplement, provided that any shares of common stock acquired upon such exercise or vesting will remain subject to the lock-up agreement and that, if the securityholder is required to file a report under the Exchange Act relating thereto, such report will include a statement to the effect that the filing relates to the “net” or “cashless” exercise of options to purchase shares of common stock, including, if applicable, the payment of taxes due as a result of the exercise of options or vesting of restricted stock units; and </w:t>
      </w:r>
      <w:r>
        <mc:AlternateContent>
          <mc:Choice Requires="wps">
            <w:drawing>
              <wp:anchor behindDoc="0" distT="100330" distB="0" distL="2540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a bona fide third-party offer for all or substantially all of our outstanding voting stock, whether pursuant to a merger, tender offer or otherwise, to a third party or group of third parties, including by entering into any voting, support or tender agreement with respect thereto, provided that if such merger, tender offer or other transaction is not consummated, the securityholder’s shares of common stock and other securities subject to the lock-up agreement will remain subject to the restrictions set forth in the lock-up agreement; </w:t>
      </w:r>
      <w:r>
        <mc:AlternateContent>
          <mc:Choice Requires="wps">
            <w:drawing>
              <wp:anchor behindDoc="0" distT="10033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that</w:t>
      </w:r>
      <w:r>
        <w:rPr>
          <w:rFonts w:ascii="Times New Roman;Times;serif" w:hAnsi="Times New Roman;Times;serif"/>
          <w:b w:val="false"/>
          <w:i w:val="false"/>
          <w:caps w:val="false"/>
          <w:smallCaps w:val="false"/>
          <w:color w:val="000000"/>
          <w:spacing w:val="4"/>
          <w:sz w:val="20"/>
        </w:rPr>
        <w:t xml:space="preserve">, in the case of (a) clauses (i) through (iii), any such transferee executes and delivers to the representatives a lock-up agreement; (b) clause (ii), that prior to the expiration of the lock-up period, no public disclosure or filing under the Exchange Act by any party to the transfer shall be required, or made voluntarily, reporting a reduction in beneficial ownership of shares of common stock, in connection with such transfer and (c) clauses (i), (iii) and (iv), that prior to the expiration of the lock-up period, (x) no public disclosure or filing under the Exchange Act by any party to the transfer shall be made voluntarily reporting a reduction in beneficial ownership of shares of common stock in connection with such transfer and (y) any such public disclosure or filing required to be made shall include a statement describing the circumstances of such transfer and, in the case of clauses (i) and (iii), that the transferee has agreed to be bound by the terms of the lock-up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the foregoing restrictions shall not apply to the establishment or amendment of a trading plan pursuant to Rule 10b5-1 under the Exchange Act (a “10b5-1 Plan”); </w:t>
      </w:r>
      <w:r>
        <w:rPr>
          <w:rFonts w:ascii="Times New Roman;Times;serif" w:hAnsi="Times New Roman;Times;serif"/>
          <w:b w:val="false"/>
          <w:i/>
          <w:caps w:val="false"/>
          <w:smallCaps w:val="false"/>
          <w:color w:val="000000"/>
          <w:spacing w:val="4"/>
          <w:sz w:val="20"/>
        </w:rPr>
        <w:t>provided that</w:t>
      </w:r>
      <w:r>
        <w:rPr>
          <w:rFonts w:ascii="Times New Roman;Times;serif" w:hAnsi="Times New Roman;Times;serif"/>
          <w:b w:val="false"/>
          <w:i w:val="false"/>
          <w:caps w:val="false"/>
          <w:smallCaps w:val="false"/>
          <w:color w:val="000000"/>
          <w:spacing w:val="4"/>
          <w:sz w:val="20"/>
        </w:rPr>
        <w:t xml:space="preserve"> no sales or other dispositions of a securityholder’s shares of common stock or other securities exchangeable or exercisable for or convertible into shares of common stock may occur under such 10b5-1 Plan during the lock-up period, no public announcement or filing under the Exchange Act regarding the establishment of such 10b5-1 Plan during the lock-up period shall be voluntarily made by or on behalf of the securityholder or us, and any public announcement or filing under the Exchange Act required of the securityholder or us regarding the establishment of such 10b5-1 Plan during the lock-up period shall include a statement to the effect that no transfer of shares of common stock may be made under such 10b5-1 Plan during the lock-up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notwithstanding the foregoing, we are permitted to sell shares of our common stock under the Amended and Restated Sales Agreement with TD Securities (USA) LLC during the restricted period following the exercise in full or expiration of the underwriters’ option to purchase additional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Jefferies LLC and TD Securities (USA) LLC may, in their sole discretion and at any time or from time to time before the termination of the 60-day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Stabilization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have the effect of stabilizing or maintaining the market price of the common stock at a level above that which might otherwise prevail in the open market. Establishing short sales positions may involve either “covered” short sales or “naked” short sales.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may also engage in passive market making transactions in our common stock on The Nasdaq Capital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this prospectus supplement and the accompanying prospectus in electronic format, the information on the underwriters’ web sites and any information contained in any other web site maintained by any of the underwriters is not part of this prospectus supplement and the accompanying prospectus, has not been approved and/or endorsed by us or the underwriters and should not be relied upon by investors.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Activities and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certain of their respective affiliates are full service financial institutions engaged in various activities, which may include securities trading, commercial and investment banking,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For example, on August 13, 2026, we entered into the Amended and Restated Sales Agreement with TD Securities (USA) LLC pursuant to which we may offer and sell shares of our common stock from time to time through TD Securities (USA) LLC acting as our sales agent.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securities offered hereby. Any such short positions could adversely affect future trading prices of the securities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Disclaimers About Non-U.S. Jurisdictions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 Resale Restrictions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 Representations of Canadian Purchasers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purchasing securities in Canada and accepting delivery of a purchase confirmation, a purchaser is representing to us and the dealer from whom the purchase confirmation is received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purchaser is entitled under applicable provincial securities laws to purchase the securities without the benefit of a prospectus qualified under those securities laws as it is an “accredited investor” as defined under National Instrument 45-106  — Prospectus Exemptions or Section 73.3(1) of the Securities Act (Ontario), as applicable,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purchaser is a “permitted client” as defined in National Instrument 31-103 — Registration Requirements, Exemptions and Ongoing Registrant Obligations,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required by law, the purchaser is purchasing as principal and not as agent, and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purchaser has reviewed the text above under Resale Restrictions.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 Conflicts of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Canadian purchasers are hereby notified that certain of the underwriters are relying on the exemption set out in section 3A.3 or 3A.4, if applicable, of National Instrument 33-105 — Underwriting Conflicts from having to provide certain conflict of interest disclosure in this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 Statutory Rights of 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the prospectus (including any amendment thereto) such as this prospectus supplement contains a misrepresentation, </w:t>
      </w:r>
      <w:r>
        <w:rPr>
          <w:rFonts w:ascii="Times New Roman;Times;serif" w:hAnsi="Times New Roman;Times;serif"/>
          <w:b w:val="false"/>
          <w:i/>
          <w:caps w:val="false"/>
          <w:smallCaps w:val="false"/>
          <w:color w:val="000000"/>
          <w:spacing w:val="4"/>
          <w:sz w:val="20"/>
        </w:rPr>
        <w:t>provided that</w:t>
      </w:r>
      <w:r>
        <w:rPr>
          <w:rFonts w:ascii="Times New Roman;Times;serif" w:hAnsi="Times New Roman;Times;serif"/>
          <w:b w:val="false"/>
          <w:i w:val="false"/>
          <w:caps w:val="false"/>
          <w:smallCaps w:val="false"/>
          <w:color w:val="000000"/>
          <w:spacing w:val="4"/>
          <w:sz w:val="20"/>
        </w:rPr>
        <w:t xml:space="preserve">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 Enforcement of Legal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 Taxation and Eligibility for Investment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Canadian purchasers of securities should consult their own legal and tax advisors with respect to the tax consequences of an investment in the securities in their particular circumstances and about the eligibility of the securities for investment by the purchaser under relevant Canadian legislation.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 Language of Documents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purchaser confirms its express wish and that it has requested that this document, all documents evidencing or relating to the sale of the securities described herein and all other related documents be drawn up exclusively in the English language. </w:t>
      </w:r>
      <w:r>
        <w:rPr>
          <w:rFonts w:ascii="Times New Roman;Times;serif" w:hAnsi="Times New Roman;Times;serif"/>
          <w:b w:val="false"/>
          <w:i/>
          <w:caps w:val="false"/>
          <w:smallCaps w:val="false"/>
          <w:color w:val="000000"/>
          <w:spacing w:val="4"/>
          <w:sz w:val="20"/>
        </w:rPr>
        <w:t xml:space="preserve">L’acquéreur confirme sa volonté expresse et qu’il a demandé que le présent document, tous les documents attestant de la vente des titres décrits dans le présent document ou s’y rapportant ainsi que tous les autres documents s’y rattachant soient rédigés exclusivement en langue anglaise.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not a disclosure document for the purposes of Australia’s Corporations Act 2001 (Cth) of Australia (the “Corporations Act”), has not been lodged with the Australian Securities &amp; Investments Commission and is only directed to the categories of exempt persons set out below. Accordingly, if you receive this prospectus supplement in Australia: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confirm and warrant that you are either: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“sophisticated investor” under section 708(8)(a) or (b) of the Corporations Act;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“sophisticated investor” under section 708(8)(c) or (d) of the Corporations Act and that you have provided an accountant’s certificate to us, which complies with the requirements of section 708(8)(c)(i) or (ii) of the Corporations Act and related regulations before the offer has been made;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associated with the us under Section 708(12) of the Corporations Act; or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“professional investor” within the meaning of section 708(11)(a) or (b) of the Corporations Act.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you are unable to confirm or warrant that you are an exempt sophisticated investor, associated person or professional investor under the Corporations Act any offer made to you under this prospectus is void and incapable of acceptance.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each Member State of the European Economic Area (each, a “Relevant State”), no securities have been offered or will be offered pursuant to the offering to the public in that Relevant State prior to the publication of a prospectus in relation to the securities which have been approved by the competent authority in that Relevant State or, where appropriate, approved in another Relevant State and notified to the competent authority in that Relevant State, all in accordance with the Prospectus Regulation, except that the securities may be offered to the public in that Relevant State at any time.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qualified investor as defined under Article 2 of the Prospectus Regulation; </w:t>
      </w:r>
      <w:r>
        <mc:AlternateContent>
          <mc:Choice Requires="wps">
            <w:drawing>
              <wp:anchor behindDoc="0" distT="9906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natural or legal persons (other than qualified investors as defined under Article 2 of the Prospectus Regulation), subject to obtaining the prior consent of the representatives for any such offer; or </w:t>
      </w:r>
      <w:r>
        <mc:AlternateContent>
          <mc:Choice Requires="wps">
            <w:drawing>
              <wp:anchor behindDoc="0" distT="9906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1(4) of the Prospectus Regulation, </w:t>
      </w:r>
      <w:r>
        <mc:AlternateContent>
          <mc:Choice Requires="wps">
            <w:drawing>
              <wp:anchor behindDoc="0" distT="9906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that</w:t>
      </w:r>
      <w:r>
        <w:rPr>
          <w:rFonts w:ascii="Times New Roman;Times;serif" w:hAnsi="Times New Roman;Times;serif"/>
          <w:b w:val="false"/>
          <w:i w:val="false"/>
          <w:caps w:val="false"/>
          <w:smallCaps w:val="false"/>
          <w:color w:val="000000"/>
          <w:spacing w:val="4"/>
          <w:sz w:val="20"/>
        </w:rPr>
        <w:t xml:space="preserve"> no such offer of the securities shall require us or any of the representatives to publish a prospectus pursuant to Article 3 of the Prospectus Regulation or supplement a prospectus pursuant to Article 23 of the Prospectus Regulation or publish an Annex IX document pursuant to Article 1(4) of the Prospectus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“offer to the public” in relation to the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(the “SFO”), and any rules made under that Ordinance; or in other circumstances which do not result in the document being a “prospectus” as defined in the Companies Ordinance (Cap. 32) of Hong Kong (the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the securities which are or are intended to be disposed of only to persons outside Hong Kong or only to “professional investors” as defined in the SFO and any rules made under that Ordinance.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Israel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does not constitute a prospectus under the Israeli Securities Law, 5728-1968 (the “Securities Law”), and has not been filed with or approved by the Israel Securities Authority. In Israel, this prospectus supplement is being distributed only to, and is directed only at, and any offer of the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has not been and will not be registered under the Financial Instruments and Exchange Law of Japan (Law No. 25 of 1948 of Japan, as amended) (the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securities are subscribed or purchased under Section 275 of the SFA by a relevant person which is: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9906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whose sole purpose is to hold investments and each beneficiary of the trust is an individual who is an accredited investor, </w:t>
      </w:r>
      <w:r>
        <mc:AlternateContent>
          <mc:Choice Requires="wps">
            <w:drawing>
              <wp:anchor behindDoc="0" distT="9906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or to a relevant person defined in Section 275(2) of the SFA, or to any person arising from an offer referred to in Section 275(1A) or Section 276(4)(i)(B) of the SFA; </w:t>
      </w:r>
      <w:r>
        <mc:AlternateContent>
          <mc:Choice Requires="wps">
            <w:drawing>
              <wp:anchor behindDoc="0" distT="10033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100330" distB="0" distL="25400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w:t>
      </w:r>
      <w:r>
        <mc:AlternateContent>
          <mc:Choice Requires="wps">
            <w:drawing>
              <wp:anchor behindDoc="0" distT="100330" distB="0" distL="254000" distR="0" simplePos="0" locked="0" layoutInCell="1" allowOverlap="1" relativeHeight="57">
                <wp:simplePos x="0" y="0"/>
                <wp:positionH relativeFrom="column">
                  <wp:align>left</wp:align>
                </wp:positionH>
                <wp:positionV relativeFrom="line">
                  <wp:align>top</wp:align>
                </wp:positionV>
                <wp:extent cx="254000" cy="52578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or </w:t>
      </w:r>
      <w:r>
        <mc:AlternateContent>
          <mc:Choice Requires="wps">
            <w:drawing>
              <wp:anchor behindDoc="0" distT="100330" distB="0" distL="254000" distR="0" simplePos="0" locked="0" layoutInCell="1" allowOverlap="1" relativeHeight="58">
                <wp:simplePos x="0" y="0"/>
                <wp:positionH relativeFrom="column">
                  <wp:align>left</wp:align>
                </wp:positionH>
                <wp:positionV relativeFrom="line">
                  <wp:align>top</wp:align>
                </wp:positionV>
                <wp:extent cx="254000" cy="52578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Regulation 32 of the Securities and Futures (Offers of Investments) (Shares and Debentures) Regulations 2005 of Singapore. </w:t>
      </w:r>
      <w:r>
        <mc:AlternateContent>
          <mc:Choice Requires="wps">
            <w:drawing>
              <wp:anchor behindDoc="0" distT="100330" distB="0" distL="254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not be publicly offered in Switzerland and will not be listed on the SIX Swiss Exchange (the “SIX”), or on any other stock exchange or regulated trading facility in Switzerland.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prospectus supplement nor any other offering or marketing material relating to the offering, the Company or the securities have been or will be filed with or approved by any Swiss regulatory authority. In particular, this prospectus supplement will not be filed with, and the offer of the securities will not be supervised by, the Swiss Financial Market Supervisory Authority (the “FINMA”), and the offer of the securities has not been and will not be authorized under the Swiss Federal Act on Collective Investment Schemes (the “CISA”). The investor protection afforded to acquirers of interests in collective investment schemes under the CISA does not extend to acquirers of the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securities have been offered or will be offered pursuant to the offering to the public in the United Kingdom except that the securities may be offered to the public in the United Kingdom at any time: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offer is conditional on the admission of the securities to trading on the London Stock Exchange plc’s main market (in reliance on the exception in paragraph 6(a) of Schedule 1 of the POATR); </w:t>
      </w:r>
      <w:r>
        <mc:AlternateContent>
          <mc:Choice Requires="wps">
            <w:drawing>
              <wp:anchor behindDoc="0" distT="101600" distB="0" distL="254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qualified investor as defined under paragraph 15 of Schedule 1 of the POATR; </w:t>
      </w:r>
      <w:r>
        <mc:AlternateContent>
          <mc:Choice Requires="wps">
            <w:drawing>
              <wp:anchor behindDoc="0" distT="101600" distB="0" distL="254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persons (other than qualified investors as defined under paragraph 15 of Schedule 1 of the POATR), subject to obtaining the prior consent of the representatives for any such offer; or </w:t>
      </w:r>
      <w:r>
        <mc:AlternateContent>
          <mc:Choice Requires="wps">
            <w:drawing>
              <wp:anchor behindDoc="0" distT="10160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Part 1 of Schedule 1 of the POATR. </w:t>
      </w:r>
      <w:r>
        <mc:AlternateContent>
          <mc:Choice Requires="wps">
            <w:drawing>
              <wp:anchor behindDoc="0" distT="10160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expressions “POATR” means the Public Offers and Admissions to Trading Regulations 2024.</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LEM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shares of our common stock offered by this prospectus supplement will be passed upon for us by Gibson, Dunn &amp; Crutcher LLP, San Francisco, California. Latham &amp; Watkins LLP, San Diego, California, is acting as counsel for the underwriters in connection with this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EX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VYNE Therapeutics Inc. (changed to Yarrow Bioscience, Inc. at time of merger) as of December 31, 2025 and 2024, and for each of the years in the two-year period ended December 31, 2025, incorporated by reference in this prospectus, have been audited by Baker Tilly US, LLP, an independent registered public accounting firm, as set forth in the report thereon, and are incorporated by reference in reliance upon such report given on the authority of such firm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Yarrow Bioscience, Inc. (changed to Yarrow Bioscience Operating Company Corp. at time of merger) as of December 31, 2025 and for the period from October 3, 2025 (inception) to December 31, 2025, incorporated by reference in this prospectus, have been audited by Baker Tilly US, LLP, an independent registered public accounting firm, as set forth in the report thereon, and are incorporated by reference in reliance upon such report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WYCF"/>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under the Securities Act with respect to the shares of our common stock offered hereby. This prospectus supplement,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and its exhibits. Statements contained in this prospectus supplement concerning the contents of any contract or any other document are not necessarily complete. If a contract or document has been filed as an exhibit to the registration statement, please see the copy of the contract or document that has been filed. Each statement in this prospectus supplement relating to a contract or document filed as an exhibit is qualified in all respects by the filed exhibit. The exhibits to the registration statement should be reviewed for the complete contents of these contracts and documents. A copy of the registration statement and its exhibits may be obtained from the SEC upon the payment of fees prescribed by it. The SEC maintains a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that contains reports, proxy and information statements and other information regarding companies that file electronically with 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the information and periodic and current reporting requirements of the Exchange Act, and in accordance therewith, file periodic and current reports, proxy statements and other information with the SEC. The registration statement, such periodic and current reports and other information can be obtained electronically by means of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IBR"/>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into this prospectus supplement and the registration statement of which this prospectus is a part the information or documents listed below that we have filed with the SEC: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Annual Report on Form 10-K for the fiscal year ended December 31, 2025, filed with the SEC on </w:t>
      </w:r>
      <w:hyperlink r:id="rId8">
        <w:r>
          <w:rPr>
            <w:rStyle w:val="InternetLink"/>
          </w:rPr>
          <w:t>February 27,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March 31, 2026 and June 30, 2026, filed with the SEC on </w:t>
      </w:r>
      <w:hyperlink r:id="rId9">
        <w:r>
          <w:rPr>
            <w:rStyle w:val="InternetLink"/>
          </w:rPr>
          <w:t>May 15, 2026</w:t>
        </w:r>
      </w:hyperlink>
      <w:r>
        <w:rPr>
          <w:rFonts w:ascii="Times New Roman;Times;serif" w:hAnsi="Times New Roman;Times;serif"/>
          <w:b w:val="false"/>
          <w:i w:val="false"/>
          <w:caps w:val="false"/>
          <w:smallCaps w:val="false"/>
          <w:color w:val="000000"/>
          <w:spacing w:val="4"/>
          <w:sz w:val="20"/>
        </w:rPr>
        <w:t xml:space="preserve"> and </w:t>
      </w:r>
      <w:hyperlink r:id="rId10">
        <w:r>
          <w:rPr>
            <w:rStyle w:val="InternetLink"/>
          </w:rPr>
          <w:t>August 13,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1">
        <w:r>
          <w:rPr>
            <w:rStyle w:val="InternetLink"/>
          </w:rPr>
          <w:t>January 30,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March 11,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July 10,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 7.01 therein and Exhibit 99.1 thereto), </w:t>
      </w:r>
      <w:hyperlink r:id="rId14">
        <w:r>
          <w:rPr>
            <w:rStyle w:val="InternetLink"/>
          </w:rPr>
          <w:t>July 20, 2026</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July 21,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 7.01 therein and Exhibit 99.1 thereto), </w:t>
      </w:r>
      <w:hyperlink r:id="rId16">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Items 2.02 and 7.01 therein), </w:t>
      </w:r>
      <w:hyperlink r:id="rId17">
        <w:r>
          <w:rPr>
            <w:rStyle w:val="InternetLink"/>
          </w:rPr>
          <w:t>July 30, 2026</w:t>
        </w:r>
      </w:hyperlink>
      <w:r>
        <w:rPr>
          <w:rFonts w:ascii="Times New Roman;Times;serif" w:hAnsi="Times New Roman;Times;serif"/>
          <w:b w:val="false"/>
          <w:i w:val="false"/>
          <w:caps w:val="false"/>
          <w:smallCaps w:val="false"/>
          <w:color w:val="000000"/>
          <w:spacing w:val="4"/>
          <w:sz w:val="20"/>
        </w:rPr>
        <w:t xml:space="preserve">, </w:t>
      </w:r>
      <w:hyperlink r:id="rId18">
        <w:r>
          <w:rPr>
            <w:rStyle w:val="InternetLink"/>
          </w:rPr>
          <w:t>August 13,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Items 2.02 and 7.01 therein) and </w:t>
      </w:r>
      <w:hyperlink r:id="rId19">
        <w:r>
          <w:rPr>
            <w:rStyle w:val="InternetLink"/>
          </w:rPr>
          <w:t>September 10,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w:t>
      </w:r>
      <w:hyperlink r:id="rId20">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our Annual Report on Form 10-K filed with the SEC on </w:t>
      </w:r>
      <w:hyperlink r:id="rId21">
        <w:r>
          <w:rPr>
            <w:rStyle w:val="InternetLink"/>
          </w:rPr>
          <w:t>March 14, 2023</w:t>
        </w:r>
      </w:hyperlink>
      <w:r>
        <w:rPr>
          <w:rFonts w:ascii="Times New Roman;Times;serif" w:hAnsi="Times New Roman;Times;serif"/>
          <w:b w:val="false"/>
          <w:i w:val="false"/>
          <w:caps w:val="false"/>
          <w:smallCaps w:val="false"/>
          <w:color w:val="000000"/>
          <w:spacing w:val="4"/>
          <w:sz w:val="20"/>
        </w:rPr>
        <w:t xml:space="preserve">, including any amendments or reports filed for the purpose of updating such description.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all documents (other than current reports furnished under Item 2.02 or Item 7.01 of Form 8-K and exhibits filed on such form that are related to such items) that are filed by us with the SEC pursuant to Sections 13(a), 13(c), 14 or 15(d) of the Exchange Act on or after the date of this prospectus supplement until the earlier of the date on which all of the securities registered have been sold hereunder or the registration statement of which this prospectus supplement is a part has been withdrawn (excluding any information furnished rather than filed) shall be deemed to be incorporated by reference into this prospectus supplement and to be a part of this prospectus supplement from the date of filing those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statements in the preceding paragraphs, no document, report or exhibit (or portion of any of the foregoing) or any other information that we have “furnished” to the SEC pursuant to the Exchange Act shall be incorporated by reference into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furnish without charge to you, on written or oral request, a copy of any or all of the documents incorporated by reference in this prospectus supplement, including exhibits to these documents. You should direct any requests for documents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Yarrow Bioscience,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470 James Street, Suite 007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Haven, CT 06513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(203) 433-7577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also may access these filings on our website at </w:t>
      </w:r>
      <w:r>
        <w:rPr>
          <w:rFonts w:ascii="Times New Roman;Times;serif" w:hAnsi="Times New Roman;Times;serif"/>
          <w:b w:val="false"/>
          <w:i/>
          <w:caps w:val="false"/>
          <w:smallCaps w:val="false"/>
          <w:color w:val="000000"/>
          <w:spacing w:val="4"/>
          <w:sz w:val="20"/>
        </w:rPr>
        <w:t>www.yarrowbioscience.com</w:t>
      </w:r>
      <w:r>
        <w:rPr>
          <w:rFonts w:ascii="Times New Roman;Times;serif" w:hAnsi="Times New Roman;Times;serif"/>
          <w:b w:val="false"/>
          <w:i w:val="false"/>
          <w:caps w:val="false"/>
          <w:smallCaps w:val="false"/>
          <w:color w:val="000000"/>
          <w:spacing w:val="4"/>
          <w:sz w:val="20"/>
        </w:rPr>
        <w:t xml:space="preserve">. We do not incorporate the information on our website into this prospectus supplement and you should not consider any information on, or that can be accessed through, our website as part of this prospectus supplement (other than those filings with the SEC that we specifically incorporate by reference into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statement contained in a document incorporated or deemed to be incorporated by reference in this prospectus supplement will be deemed modified, superseded or replaced for purposes of this prospectus to the extent that a statement contained in this prospectus supplement modifies, supersedes or replaces such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$250,000,000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120" w:after="283"/>
        <w:jc w:val="center"/>
        <w:rPr>
          <w:caps w:val="false"/>
          <w:smallCaps w:val="false"/>
          <w:color w:val="000000"/>
        </w:rPr>
      </w:pPr>
      <w:r>
        <w:rPr>
          <w:caps w:val="false"/>
          <w:smallCaps w:val="false"/>
          <w:color w:val="000000"/>
        </w:rPr>
        <w:drawing>
          <wp:inline distT="0" distB="0" distL="0" distR="0">
            <wp:extent cx="2952750" cy="1009650"/>
            <wp:effectExtent l="0" t="0" r="0" b="0"/>
            <wp:docPr id="6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 descr=""/>
                    <pic:cNvPicPr>
                      <a:picLocks noChangeAspect="1" noChangeArrowheads="1"/>
                    </pic:cNvPicPr>
                  </pic:nvPicPr>
                  <pic:blipFill>
                    <a:blip r:embed="rId22"/>
                    <a:stretch>
                      <a:fillRect/>
                    </a:stretch>
                  </pic:blipFill>
                  <pic:spPr bwMode="auto">
                    <a:xfrm>
                      <a:off x="0" y="0"/>
                      <a:ext cx="2952750" cy="100965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Yarrow Bioscience,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from time to time, in one or more series or issuances and on terms that we will determine at the time of the offering, up to $250.0 million of any combination of the securities described in this prospectus. We may also offer securities as may be issuable upon conversion, redemption, repurchase, exchange or exercise of any securities registered hereunder, including any applicable antidilution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specific terms of any offering in one or more supplements to this prospectus. We may also authorize one or more free writing prospectuses to be provided to you in connection with these offerings. Any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or deemed to be incorporated by reference in this prospectus before you purchase any of the securities offered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granted to them to purchase additional shares will be described in the applicable prospectus supplement. For a more complete description of the plan of distribution of these securities, see the section entitled “Plan of Distribution” beginning on page 14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“smaller reporting company” under the federal securities laws and, as such, are subject to reduced public company reporting requirements. See “Summary — Implications of Being a Smaller Reporting Company.”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consummate a sale of any securities unless accompanied by a prospectus supplement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Capital Market (“Nasdaq”), under the symbol “YARW.” On August 12, 2026, the closing price of our common stock was $42.77 per share. We will provide information in any applicable prospectus supplement regarding any listing of securities other than shares of our common stock on any securities exchange. Our principal executive offices are located at 470 James Street, Suite 007, New Haven, Connecticut 06513 and our telephone number is (203) 433-7577.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Investing in our securities involves significant risks. See “Risk Factors” beginning on page </w:t>
      </w:r>
      <w:hyperlink w:anchor="tRIFA">
        <w:r>
          <w:rPr>
            <w:rStyle w:val="InternetLink"/>
          </w:rPr>
          <w:t>4</w:t>
        </w:r>
      </w:hyperlink>
      <w:r>
        <w:rPr>
          <w:rFonts w:ascii="Times New Roman;Times;serif" w:hAnsi="Times New Roman;Times;serif"/>
          <w:b/>
          <w:i w:val="false"/>
          <w:caps w:val="false"/>
          <w:smallCaps w:val="false"/>
          <w:color w:val="000000"/>
          <w:spacing w:val="-4"/>
          <w:sz w:val="20"/>
        </w:rPr>
        <w:t xml:space="preserve"> of this prospectus and in the applicable prospectus supplement and in the documents incorporated by reference in this prospectus and any applicable prospectus supplement before investing in any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August 19,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OC3"/>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3"/>
        <w:gridCol w:w="109"/>
        <w:gridCol w:w="109"/>
        <w:gridCol w:w="109"/>
        <w:gridCol w:w="109"/>
        <w:gridCol w:w="409"/>
        <w:gridCol w:w="109"/>
        <w:gridCol w:w="155"/>
      </w:tblGrid>
      <w:tr>
        <w:trPr/>
        <w:tc>
          <w:tcPr>
            <w:tcW w:w="77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SUF2">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UF2">
              <w:r>
                <w:rPr>
                  <w:rStyle w:val="InternetLink"/>
                  <w:spacing w:val="4"/>
                </w:rPr>
                <w:t>1</w:t>
              </w:r>
            </w:hyperlink>
            <w:hyperlink w:anchor="tSUF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4</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NRF">
              <w:r>
                <w:rPr>
                  <w:rStyle w:val="InternetLink"/>
                  <w:spacing w:val="4"/>
                </w:rPr>
                <w:t>5</w:t>
              </w:r>
            </w:hyperlink>
            <w:hyperlink w:anchor="tSN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SWMO">
              <w:r>
                <w:rPr>
                  <w:rStyle w:val="InternetLink"/>
                  <w:spacing w:val="4"/>
                </w:rPr>
                <w:t xml:space="preserve">SECURITIES WE MAY OFFER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WMO">
              <w:r>
                <w:rPr>
                  <w:rStyle w:val="InternetLink"/>
                  <w:spacing w:val="4"/>
                </w:rPr>
                <w:t>8</w:t>
              </w:r>
            </w:hyperlink>
            <w:hyperlink w:anchor="tSWM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14</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LEMA">
              <w:r>
                <w:rPr>
                  <w:rStyle w:val="InternetLink"/>
                  <w:spacing w:val="4"/>
                </w:rPr>
                <w:t>17</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17</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WYCF">
              <w:r>
                <w:rPr>
                  <w:rStyle w:val="InternetLink"/>
                  <w:spacing w:val="4"/>
                </w:rPr>
                <w:t>18</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IBR">
              <w:r>
                <w:rPr>
                  <w:rStyle w:val="InternetLink"/>
                  <w:spacing w:val="4"/>
                </w:rPr>
                <w:t>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ATP"/>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Securities and Exchange Commission, which we refer to as the “SEC” or the “Commission,” utilizing a “shelf” registration process. Under this shelf registration process, we may, from time to time, sell any combination of the securities described in this prospectus in one or more offerings, up to a total amount of $250.0 million.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may offer. Each time we sell securities pursuant to this prospectus, we will provide one or more prospectus supplements that will contain specific information about the terms of the offering. The specific terms of the offered securities may vary from the general terms of the securities described in this prospectus, and accordingly the description of the securities contained in this prospectus is subject to, and qualified by reference to, the specific terms of the offered securities contained in the applicable prospectus supplement.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information contained in this prospectus or in the documents that we have incorporated by reference into this prospectus. You should carefully read both this prospectus, any applicable prospectus supplement and any free writing prospectuses we have authorized for use in connection with a specific offering, together with the additional information described under the heading “Where You Can Find More Information” beginning on page 18 of this prospectus.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consummate a sale of securities unless it is accompanied by a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 this prospectus, any applicable prospectus supplement or in any related free writing prospectus filed by us with the SEC. We have not authorized anyone to provide you with different information. We take no responsibility for, and can provide no assurance as to the reliability of, any information that others may provide. This prospectus, any applicable prospectus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such securities in any circumstances in which such offer or solicitation is unlawful. We are not making offers to sell the securities in any jurisdiction in which an offer or solicitation is not authorized or in which the person making such offer or solicitation is not qualified to do so or to anyone to whom it is unlawful to make an offer or solicitation. You should assume that the information in this prospectus, any applicable prospectus supplement, any free writing prospectus and any information in documents that we have incorporated by reference is accurate only as of their respective dates. Our business, financial condition, results of operations and prospects may have changed materially since those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information incorporated herein by reference contain summaries of certain provisions contained in some of the documents described herein, but reference is made to the actual documents for more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otherwise stated, all references in this prospectus to “we,” “us,” “our,” “the company,” “YARW,” “Yarrow” and similar designations, except where the context requires otherwise, refer collectively to Yarrow Bioscience, Inc., a Delaware corporation, together with its consolidated subsidiaries.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SUF2"/>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from this prospectus and does not contain all of the information that you need to consider in making your investment decision. You should carefully read the entire prospectus and any applicable prospectus supplement, including the risks of investing in our securities discussed under the heading “Risk Factors” contained in the applicable prospectus supplement,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About Yarrow Bioscience,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biotechnology company focused on developing transformative therapies to treat autoimmune thyroid diseases. Our lead product candidate, YB-101 (also known as GenSci098), is a humanized, monoclonal antibody targeting the thyroid-stimulating hormone receptor (“TSHR”), which we plan to develop for the treatment of Graves’ disease, or GD, and potentially thyroid eye disease (“TED”). Both GD and TED are serious and poorly treated autoimmune diseases in which autoantibodies against TSHR attack and overstimulate the receptor, leading to a wide spectrum of thyroidal and extra-thyroidal clinical sequelae.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YB-101 was designed to selectively bind to TSHR and block autoantibody-induced receptor activation, thereby directly inhibiting the pathogenic activity of thyroid-stimulating autoantibodies that drive disease progression in GD and TED as well as the biological pathway responsible for hyperthyroidism and orbitopathy. We believe that this novel and targeted approach represents a potential breakthrough for patients with GD and TED and has the potential to address an important unmet need for therapies with differentiated risk-benefit profiles.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incorporated in October 2011 as a Delaware corporation under the name Tigercat Pharma, Inc. In September 2020, we changed our name from “Menlo Therapeutics Inc.” to “VYNE Therapeutics Inc.,” following our merger with Foamix Pharmaceuticals Ltd. in March 2020. In July 2026, we changed our name from “VYNE Therapeutics Inc.” to “Yarrow Bioscience, Inc.,” following our merger with Yarrow Bioscience Operating Company Corp. (formerly known as Yarrow Bioscience,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24, 2026, we effected a 1-for-50 reverse stock split of our common stock (the “Reverse Stock Split”). All references to common stock share and per share amounts in this prospectus are presented on a post-Reverse Stock Split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470 James Street, Suite 007, New Haven, Connecticut 06513 and our telephone number is (203) 433-7577. Our website address is </w:t>
      </w:r>
      <w:r>
        <w:rPr>
          <w:rFonts w:ascii="Times New Roman;Times;serif" w:hAnsi="Times New Roman;Times;serif"/>
          <w:b w:val="false"/>
          <w:i/>
          <w:caps w:val="false"/>
          <w:smallCaps w:val="false"/>
          <w:color w:val="000000"/>
          <w:spacing w:val="4"/>
          <w:sz w:val="20"/>
          <w:bdr w:val="single" w:sz="8" w:space="1" w:color="000000"/>
        </w:rPr>
        <w:t>www.yarrowbioscience.com</w:t>
      </w:r>
      <w:r>
        <w:rPr>
          <w:rFonts w:ascii="Times New Roman;Times;serif" w:hAnsi="Times New Roman;Times;serif"/>
          <w:b w:val="false"/>
          <w:i w:val="false"/>
          <w:caps w:val="false"/>
          <w:smallCaps w:val="false"/>
          <w:color w:val="000000"/>
          <w:spacing w:val="4"/>
          <w:sz w:val="20"/>
          <w:bdr w:val="single" w:sz="8" w:space="1" w:color="000000"/>
        </w:rPr>
        <w:t xml:space="preserve">. The information contained on, or accessible through, our website is not incorporated by reference into this prospectus. We have included our website in this prospectus solely as an inactive textual 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make available on or through our website certain reports and amendments to those reports that we file with, or furnish to, the SEC in accordance with the Securities Exchange Act of 1934, as amended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“smaller reporting company,” as defined in Rule 12b-2 of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(ii) our annual revenue was less than $100 million during the most recently completed fiscal year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Additionally, as a smaller reporting company, we may continue to take advantage of the exception from compliance with the auditor attestation requirements of Section 404 of the Sarbanes-Oxley Act of 2002, as amended. If investors consider our common shares less attractive as a result of our election to use the scaled-back disclosure permitted for smaller reporting companies, there may be a less active trading market for our common shares and our share price may be more volatile.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Securities We May Offer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offer shares of our common stock and preferred stock, and warrants to purchase any of such securities, up to a total aggregate offering price of $250.0 million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designation or classification; </w:t>
      </w:r>
      <w:r>
        <mc:AlternateContent>
          <mc:Choice Requires="wps">
            <w:drawing>
              <wp:anchor behindDoc="0" distT="7366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aggregate offering price; </w:t>
      </w:r>
      <w:r>
        <mc:AlternateContent>
          <mc:Choice Requires="wps">
            <w:drawing>
              <wp:anchor behindDoc="0" distT="736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conversion or exchange prices or rates, if any, and, if applicable, any provisions for changes to or adjustments in the conversion or exchange prices or rates and in the securities or other property receivable upon conversion or exchange; </w:t>
      </w:r>
      <w:r>
        <mc:AlternateContent>
          <mc:Choice Requires="wps">
            <w:drawing>
              <wp:anchor behindDoc="0" distT="7366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voting or other rights, if any; and </w:t>
      </w:r>
      <w:r>
        <mc:AlternateContent>
          <mc:Choice Requires="wps">
            <w:drawing>
              <wp:anchor behindDoc="0" distT="7366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material U.S. federal income tax considerations. </w:t>
      </w:r>
      <w:r>
        <mc:AlternateContent>
          <mc:Choice Requires="wps">
            <w:drawing>
              <wp:anchor behindDoc="0" distT="736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This prospectus may not be used to consummate a sale of securities unless it is accompanied by a prospectus supplement.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names of those underwriters or agents; </w:t>
      </w:r>
      <w:r>
        <mc:AlternateContent>
          <mc:Choice Requires="wps">
            <w:drawing>
              <wp:anchor behindDoc="0" distT="736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applicable fees, discounts and commissions to be paid to them;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details regarding options to purchase additional shares, if any; and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estimated net proceeds to us.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Common Stock</w:t>
      </w:r>
      <w:r>
        <w:rPr>
          <w:rFonts w:ascii="Times New Roman;Times;serif" w:hAnsi="Times New Roman;Times;serif"/>
          <w:b w:val="false"/>
          <w:i w:val="false"/>
          <w:caps w:val="false"/>
          <w:smallCaps w:val="false"/>
          <w:color w:val="000000"/>
          <w:spacing w:val="4"/>
          <w:sz w:val="20"/>
          <w:bdr w:val="single" w:sz="8" w:space="1" w:color="000000"/>
        </w:rPr>
        <w:t xml:space="preserve">.   The holders of our common stock are entitled to one vote for each share held of record on all matters submitted to a vote of stockholders and do not have any cumulative voting rights. Any election at a meeting of stockholders is determined by a plurality of the votes cast by the stockholders entitled to vote at the election, and all other matters are generally determined by a majority of the votes cast on the matter. Holders of our common stock are entitled to receive ratably such dividends, if any, as may be declared by our board of directors out of funds legally available. In the event we liquidate, dissolve or wind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after payment of all of our debts and liabilities, and subject to the preferential rights, if any, of any outstanding preferred stock, the holders of our common stock are entitled to share ratably in all assets. Our common stock has no preemptive or conversion rights or other subscription rights, and there are no redemption or sinking fund provisions applicable to our common stock. We have received full payment for all outstanding shares of our common stock and cannot require our stockholders to make further payments on the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Preferred Stock</w:t>
      </w:r>
      <w:r>
        <w:rPr>
          <w:rFonts w:ascii="Times New Roman;Times;serif" w:hAnsi="Times New Roman;Times;serif"/>
          <w:b w:val="false"/>
          <w:i w:val="false"/>
          <w:caps w:val="false"/>
          <w:smallCaps w:val="false"/>
          <w:color w:val="000000"/>
          <w:spacing w:val="4"/>
          <w:sz w:val="20"/>
          <w:bdr w:val="single" w:sz="8" w:space="1" w:color="000000"/>
        </w:rPr>
        <w:t xml:space="preserve">.   We may issue shares of our preferred stock from time to time, in one or more series. Under our certificate of incorporation, our board of directors has the authority, without further action by the stockholders (unless such stockholder action is required by applicable law or the rules of any stock exchange or market on which our securities are then traded), to designate up to 20,000,000 shares of preferred stock in one or more series and to determine the designations, voting powers, preferences and rights of each series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any or all of which may be greater than the rights of the common stock, and to increase or decrease the number of shares of any such series, but not below the number of shares of such series then outstanding. Any convertible preferred stock we may issue will be convertible into our common stock or exchangeable for our other securities. Conversion may be mandatory or at the holder’s option and would be at prescribed conversion rates.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sell any series of preferred stock under this prospectus, we will fix the designations, voting powers, preferences and rights of such series of preferred stock,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that we are offering before the issuance of the related series of preferred stock.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Warrants</w:t>
      </w:r>
      <w:r>
        <w:rPr>
          <w:rFonts w:ascii="Times New Roman;Times;serif" w:hAnsi="Times New Roman;Times;serif"/>
          <w:b w:val="false"/>
          <w:i/>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We may issue warrants for the purchase of common stock and/or preferred stock. We may issue warrants independently or together with shares of common stock and/or preferred stock,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that may be offered will be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before the issuance of such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Any warrants issued under this prospectus will be evidenced by warrant certificates. Warrants may be issued under an applicable warrant agreement that we enter into with a warrant agent. We will indicate the name and address of the warrant agent, if applicable, in the prospectus supplement relating to the particular series of warrants being offered.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RIFA"/>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and any related free writing prospectus,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and any updates described in our Quarterly Reports on Form 10-Q, all of which are incorporated herein by reference, and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Past performance may not be a reliable indicator of future performance, and historical trends should not be used to anticipate results or trends in future periods. The occurrence of any of these known or unknown risks could adversely affect our business, operating results and financial condition, as well as adversely affect the value of an investment in our securities, and the occurrence of any of these known or unknown risks might cause you to lose all or part of your investment in the offered securities. Please also read carefully the section below titled “Special Note Regarding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SNRF"/>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including the information incorporated by reference in this prospectus, contains “forward-looking statements” within the meaning of Section 27A of the Securities Act of 1933, as amended (the “Securities Act”), and Section 21E of the Exchange Act. Forward-looking statements include statements that may relate to our plans, objectives, goals, strategies, future events, future revenues or performance, capital expenditures, financing needs and other information that is not historical information. All statements other than statements of historical facts contained in this prospectus, including the information incorporated by reference in this prospectus, are statements that could be deemed forward-looking statements reflecting the current beliefs and expectations of management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These statements are often identified by the use of words such as “aim,” “anticipate,” “assume,” “believe,” “contemplate,” “continue,” “could,” “due,” “estimate,” “expect,” “goal,” “if,” “intend,” “may,” “objective,” “plan,” “predict,” “potential,” “positioned,” “seek,” “should,” “target,” “until,” “will,” “would,” and similar expressions or variations.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These forward-looking statements are subject to a number of risks, uncertainties, assumptions and other important factors, including those described in this prospectus and the documents incorporated herein by reference, particularly in the sections of such documents titled “Risk Factors” and “Management’s Discussion and Analysis of Financial Condition and Results of Operations.” The following uncertainties and factors, among others, could affect future performance and cause actual results to differ materially from those matters expressed in or implied by forward-looking statements: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execute on our strategy for the development of YB-101;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cost and timing of our planned filing of investigational drug applications or their equivalents, planned product development activities, and initiation of clinical trials of our current product candidates, including YB-101, and any future product candidates;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the continued service of our directors, officers, key employees and consultants;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continue to grow and manage our growth effectively;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regulatory approval for our current or future product candidates that we may identify or develop;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ensure adequate supply of our current or future product candidates;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third-party relationships necessary to conduct our business;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an adequate safety or efficacy profile for our current or future product candidates that we may pursue;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and execution of our strategic plans for our business, our current or future product candidates we may develop and our technology;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intellectual property position, including the scope of protection we are able to establish and maintain for intellectual property rights covering our product candidates and technology;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and degree of market acceptance and clinical utility for our current or future product candidates we may develop;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about the size of our market opportunity;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expenses, future revenues, capital requirements and our needs for additional financing;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and establish collaborations;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performance and liquidity; </w:t>
      </w:r>
      <w:r>
        <mc:AlternateContent>
          <mc:Choice Requires="wps">
            <w:drawing>
              <wp:anchor behindDoc="0" distT="0" distB="0" distL="254000" distR="0" simplePos="0" locked="0" layoutInCell="1" allowOverlap="1" relativeHeight="91">
                <wp:simplePos x="0" y="0"/>
                <wp:positionH relativeFrom="column">
                  <wp:align>left</wp:align>
                </wp:positionH>
                <wp:positionV relativeFrom="line">
                  <wp:posOffset>635</wp:posOffset>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relating to our competitors and our industry, including the impact of government regulation;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the continued service of our key professionals and consultants and to identify, hire and retain additional qualified professionals;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adequate internal controls over financial reporting;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global economic uncertainty and financial market volatility caused by economic effects of volatility in inflation and interest rates, tariffs, geopolitical instability, changes in international trade relationships and conflicts; and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uncertainties, including those incorporated by reference under the section titled “Risk Factors.”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UOP"/>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 of any securities offered under this prospectus for general corporate purposes unless otherwise indicated in the applicable prospectus supplement. General corporate purposes may include funding research and development expenses for our clinical and preclinical pipeline, in-licensing or acquiring other products or technologies, working capital and capital expenditures. We have not determined the amount of net proceeds to be used specifically for such purposes. As a result, management will retain broad discretion over the allocation of net proceeds. We will set forth in the applicable prospectus supplement or free writing prospectus our intended use for the net proceeds received from the sale of any securities sold pursuant to the prospectus supplement or free writing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SWMO"/>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SECURITIES WE MAY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summary descriptions of the securities we may offer from time to time. These summary descriptions are not meant to be complete descriptions of each security. The particular terms of any securities will be described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capital stock is intended as a summary only and therefore is not a complete description of our capital stock. This description is based upon, and is qualified by reference to, our Amended and Restated Certificate of Incorporation (the “Certificate of Incorporation”), our Amended and Restated Bylaws (the “Bylaws”), and applicable provisions of Delaware corporate law. You should read our Certificate of Incorporation and our Bylaws, which are filed as exhibits to the registration statement of which this prospectus forms a part, for the provisions that are important to you.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300,000,000 shares of common stock, $0.0001 par value per share, and 20,000,000 shares of preferred stock, $0.0001 par value per share. As of August 10, 2026, 2,669,746 shares of common stock were outstanding and no shares of preferred stock were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will be required to take certain actions, including amending certain provisions of our Certificate of Incorporation, such as the provisions relating to amending our Bylaws, procedures for our stockholder meetings, the classified board, director liability, and exclusive forum for proceedings.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Subject to preferences that may be applicable to any then outstanding preferred stock, holders of our common stock are entitled to receive dividends, if any, as may be declared from time to time by our board of directors out of legally available funds.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and Dissolution</w:t>
      </w:r>
      <w:r>
        <w:rPr>
          <w:rFonts w:ascii="Times New Roman;Times;serif" w:hAnsi="Times New Roman;Times;serif"/>
          <w:b w:val="false"/>
          <w:i w:val="false"/>
          <w:caps w:val="false"/>
          <w:smallCaps w:val="false"/>
          <w:color w:val="000000"/>
          <w:spacing w:val="4"/>
          <w:sz w:val="20"/>
        </w:rPr>
        <w:t xml:space="preserve">.   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Rights.</w:t>
      </w:r>
      <w:r>
        <w:rPr>
          <w:rFonts w:ascii="Times New Roman;Times;serif" w:hAnsi="Times New Roman;Times;serif"/>
          <w:b w:val="false"/>
          <w:i w:val="false"/>
          <w:caps w:val="false"/>
          <w:smallCaps w:val="false"/>
          <w:color w:val="000000"/>
          <w:spacing w:val="4"/>
          <w:sz w:val="20"/>
        </w:rPr>
        <w:t xml:space="preserve">   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 and Registrar.</w:t>
      </w:r>
      <w:r>
        <w:rPr>
          <w:rFonts w:ascii="Times New Roman;Times;serif" w:hAnsi="Times New Roman;Times;serif"/>
          <w:b w:val="false"/>
          <w:i w:val="false"/>
          <w:caps w:val="false"/>
          <w:smallCaps w:val="false"/>
          <w:color w:val="000000"/>
          <w:spacing w:val="4"/>
          <w:sz w:val="20"/>
        </w:rPr>
        <w:t xml:space="preserve">   Equiniti Trust Company, LLC is the transfer agent and registrar for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Listing on the Nasdaq Capital Market.</w:t>
      </w:r>
      <w:r>
        <w:rPr>
          <w:rFonts w:ascii="Times New Roman;Times;serif" w:hAnsi="Times New Roman;Times;serif"/>
          <w:b w:val="false"/>
          <w:i w:val="false"/>
          <w:caps w:val="false"/>
          <w:smallCaps w:val="false"/>
          <w:color w:val="000000"/>
          <w:spacing w:val="4"/>
          <w:sz w:val="20"/>
        </w:rPr>
        <w:t xml:space="preserve">   Our common stock is listed on the Nasdaq Capital Market under the symbol “YARW.”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the authority, without further action by our stockholders, to issue up to 20,000,000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terms of any series of preferred stock offered pursuant to this prospectus will be described in the prospectus supplement relating to that series of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Provisions of our Certificate of Incorporation, our Bylaws and Delaware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provisions of Delaware law and our Certificate of Incorporation and our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Anti-Takeover Statute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Section 203 of the Delaware General Corporation Law, which prohibits persons deemed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Undesignated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Stockholder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a special meeting of stockholders may be called by our board of directors, chair of our board of directors, Chief Executive Officer or President (in the absence of a Chief Executive Officer).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Requirements for Advance Notification of Stockholder Nominations and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include advance notice procedures with respect to stockholder proposals and the nomination of candidates for election as directors, other than nominations made by or at the direction of the board of directors or a committee of the board of directors.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Elimination of Stockholder Action by Written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our Bylaws do not permit stockholders to act by written consent without a meeting.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Classified Board; Election and Removal of Directors; Filling Vacancies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remainder of their respective three-year terms. Because our stockholders do not have cumulative voting rights, our stockholders holding a majority of the shares of common stock outstanding will be able to elect all of our directors. Our Certificate of Incorporation provides for the removal of any of our directors only for cause and requires a stockholder vote by the holders of at least 66-2/3% of the voting power of the then outstanding voting stock.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Choice of Forum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 Although our Certificate of Incorporation contains the choice of forum provision described above, it is possible that a court could find that such a provision is inapplicable for a particular claim or action or that such provision is unenforceable.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Charter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amendment of any of the above provisions, except for the provision making it possible for our board of directors to issue undesignated preferred stock, would require approval by a stockholder vote by the holders of at least 66-2/3% of the voting power of the then outstanding voting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the Delaware General Corporation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of Liability and Indemnification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of the director’s duty of loyalty to us or our stockholders; </w:t>
      </w:r>
      <w:r>
        <mc:AlternateContent>
          <mc:Choice Requires="wps">
            <w:drawing>
              <wp:anchor behindDoc="0" distT="7366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 or omission not in good faith or that involves intentional misconduct or a knowing violation of law; </w:t>
      </w:r>
      <w:r>
        <mc:AlternateContent>
          <mc:Choice Requires="wps">
            <w:drawing>
              <wp:anchor behindDoc="0" distT="7366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unlawful payments of dividends or unlawful stock repurchases or redemptions as provided in Section 174 of the Delaware General Corporation Law; or </w:t>
      </w:r>
      <w:r>
        <mc:AlternateContent>
          <mc:Choice Requires="wps">
            <w:drawing>
              <wp:anchor behindDoc="0" distT="7366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from which the director derived an improper personal benefit.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Certificate of Incorporation and Bylaws provides that we are required to indemnify our directors and officers, in each case, to the fullest extent permitted by Delaware law. Our Bylaws will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including, among other things, attorneys’ fees, judgments, fines and settlement amounts incurred by any of these individuals in any action or proceeding. We believe that these Bylaws provisions and indemnification agreements are necessary to attract and retain qualified persons as directors and officers. We also maintain directors’ and officers’ liability insurance. The limitation of liability and indemnification provisions in our Certificate of Incorporation and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for the purchase of shares of our common stock or preferred stock.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particular terms of any issue of warrants will be described in the prospectus supplement relating to the issue. Those terms may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common stock or preferred stock purchasable upon the exercise of warrants to purchase such shares and the price at which such number of shares may be purchased upon such exercise;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stated value and terms (including, without limitation, liquidation, dividend, conversion and voting rights) of the series of preferred stock purchasable upon exercise of warrants to purchase preferred stock;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on and after which the warrants and the related preferred stock or common stock will be separately transferable;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rights to redeem or call the warrants;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commence and the date on which the right will expire;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federal income tax consequences applicable to the warrants; and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terms of the warrants, including terms, procedures, and limitations relating to the exchange, exercise and settlement of the warrants.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equity warrants will not be entitled to: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vote, consent or receive dividends;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notice as stockholders with respect to any meeting of stockholders for the election of our directors or any other matter; or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exercise any rights as stockholders of Yarrow Bioscience, Inc.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will entitle its holder to purchase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POD"/>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securities, from time to time: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underwriters, dealers or agents; </w:t>
      </w:r>
      <w:r>
        <mc:AlternateContent>
          <mc:Choice Requires="wps">
            <w:drawing>
              <wp:anchor behindDoc="0" distT="7747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one or more purchasers; or </w:t>
      </w:r>
      <w:r>
        <mc:AlternateContent>
          <mc:Choice Requires="wps">
            <w:drawing>
              <wp:anchor behindDoc="0" distT="7747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or any other method permitted by law. </w:t>
      </w:r>
      <w:r>
        <mc:AlternateContent>
          <mc:Choice Requires="wps">
            <w:drawing>
              <wp:anchor behindDoc="0" distT="7747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manner in which we may sell some or all of the securities covered by this prospectus includes any method permitted by law, including, without limitation, through: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block trade in which a broker-dealer will attempt to sell as agent, but may position or resell a portion of the block, as principal, in order to facilitate the transaction; </w:t>
      </w:r>
      <w:r>
        <mc:AlternateContent>
          <mc:Choice Requires="wps">
            <w:drawing>
              <wp:anchor behindDoc="0" distT="7747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747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a broker solicits purchasers; </w:t>
      </w:r>
      <w:r>
        <mc:AlternateContent>
          <mc:Choice Requires="wps">
            <w:drawing>
              <wp:anchor behindDoc="0" distT="7747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in an “at the market offering” within the meaning of Rule 415(a)(4) under the Securities Act, to or through one or more market makers or into an existing trading market, on an exchange or otherwise; or </w:t>
      </w:r>
      <w:r>
        <mc:AlternateContent>
          <mc:Choice Requires="wps">
            <w:drawing>
              <wp:anchor behindDoc="0" distT="7747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747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the securities may be effected from time to time in one or more transactions: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from time to time; </w:t>
      </w:r>
      <w:r>
        <mc:AlternateContent>
          <mc:Choice Requires="wps">
            <w:drawing>
              <wp:anchor behindDoc="0" distT="7747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7747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such prevailing market prices; or </w:t>
      </w:r>
      <w:r>
        <mc:AlternateContent>
          <mc:Choice Requires="wps">
            <w:drawing>
              <wp:anchor behindDoc="0" distT="7747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747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supplement will describe the method of distribution of the securities and any applicable restrictions.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or supplements (and any related free writing prospectuses that we may authorize to be provided to you) with respect to the securities of a particular series will describe the terms of the offering of the securities,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the agent or any underwriters;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or purchase price and the proceeds we will receive from the sale of the securities;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commissions, or agency fees and other items to be allowed constituting underwriting compensation;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options under which underwriters may purchase additional securities from us;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and commissions to be allowed or re-allowed or paid to dealers;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exchanges on which the securities will be listed; and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material terms of the offering.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by an institution of the securities covered under that contract shall not at the time of delivery be prohibited under the laws of the jurisdiction to which that institution is subject; and </w:t>
      </w:r>
      <w:r>
        <mc:AlternateContent>
          <mc:Choice Requires="wps">
            <w:drawing>
              <wp:anchor behindDoc="0" distT="7493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r>
        <mc:AlternateContent>
          <mc:Choice Requires="wps">
            <w:drawing>
              <wp:anchor behindDoc="0" distT="7493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any date prior to the second business day before the original issue date for your securities, you will be required, by virtue of the fact that your securities initially are expected to settle more than two scheduled business days after the trade date for your securities, to make alternative settlement arrangements to prevent a failed settlement.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compliance with the guidelines of the Financial Industry Regulatory Authority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underwriters or agents who are qualified market makers on the Nasdaq Capital Market may engage in passive market making transactions in the securities on the Nasdaq Capital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LEMA"/>
      <w:bookmarkEnd w:id="23"/>
      <w:r>
        <w:rPr>
          <w:rFonts w:ascii="calibri;arial;sans-serif" w:hAnsi="calibri;arial;sans-serif"/>
          <w:b w:val="false"/>
          <w:i w:val="false"/>
          <w:caps w:val="false"/>
          <w:smallCaps w:val="false"/>
          <w:color w:val="000000"/>
          <w:sz w:val="16"/>
        </w:rPr>
        <w:t>​</w:t>
      </w:r>
      <w:bookmarkStart w:id="24" w:name="tEXP"/>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including the legality of the securities offered, will be passed upon for us by Gibson, Dunn &amp; Crutcher LLP, San Francisco, California. Additional legal matters may be passed upon for us or any underwriters, dealers or agents, by counsel that we will name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VYNE Therapeutics Inc. as of December 31, 2025 and 2024, and for each of the years in the two-year period ended December 31, 2025, incorporated by reference in this prospectus, have been audited by Baker Tilly US, LLP, an independent registered public accounting firm, as set forth in the report thereon, and are incorporated by reference in reliance upon such report given on the authority of such firm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Yarrow Bioscience, Inc. (changed to Yarrow Bioscience Operating Company Corp. at time of merger) as of December 31, 2025 and for the period from October 3, 2025 (inception) to December 31, 2025, incorporated by reference in this prospectus, have been audited by Baker Tilly US, LLP, an independent registered public accounting firm, as set forth in the report thereon, and are incorporated by reference in reliance upon such report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WYCF"/>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are available to the public over the Internet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Our common stock is listed on the Nasdaq Capital Market under the symbol “YARW.” Copies of certain information filed by us with the SEC are also available free of charge on our website at </w:t>
      </w:r>
      <w:r>
        <w:rPr>
          <w:rFonts w:ascii="Times New Roman;Times;serif" w:hAnsi="Times New Roman;Times;serif"/>
          <w:b w:val="false"/>
          <w:i/>
          <w:caps w:val="false"/>
          <w:smallCaps w:val="false"/>
          <w:color w:val="000000"/>
          <w:spacing w:val="4"/>
          <w:sz w:val="20"/>
        </w:rPr>
        <w:t>www.yarrowbioscience.com</w:t>
      </w:r>
      <w:r>
        <w:rPr>
          <w:rFonts w:ascii="Times New Roman;Times;serif" w:hAnsi="Times New Roman;Times;serif"/>
          <w:b w:val="false"/>
          <w:i w:val="false"/>
          <w:caps w:val="false"/>
          <w:smallCaps w:val="false"/>
          <w:color w:val="000000"/>
          <w:spacing w:val="4"/>
          <w:sz w:val="20"/>
        </w:rPr>
        <w:t xml:space="preserve">. Our website is not a part of this prospectus and is not incorporated by reference in this prospectus. These filings will be available as soon as reasonably practicable after we electronically file such material with, or furnish it to,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Those exhibits may be filed with the registration statement or may be incorporated by reference to earlier SEC filings listed in the registration statement or in subsequent filings that we may make under the Exchange Act.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IBR"/>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which means that we can disclose important information to you by referring you to these documents instead of having to repeat the information in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Our periodic reports are filed with the SEC under SEC File Number 001-38356.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hereby incorporate by reference the following documents: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Annual Report on Form 10-K for the fiscal year ended December 31, 2025, filed with the SEC on </w:t>
      </w:r>
      <w:hyperlink r:id="rId23">
        <w:r>
          <w:rPr>
            <w:rStyle w:val="InternetLink"/>
          </w:rPr>
          <w:t>February 27,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March 31, 2026 and June 30, 2026, filed with the SEC on </w:t>
      </w:r>
      <w:hyperlink r:id="rId24">
        <w:r>
          <w:rPr>
            <w:rStyle w:val="InternetLink"/>
          </w:rPr>
          <w:t>May 15, 2026</w:t>
        </w:r>
      </w:hyperlink>
      <w:r>
        <w:rPr>
          <w:rFonts w:ascii="Times New Roman;Times;serif" w:hAnsi="Times New Roman;Times;serif"/>
          <w:b w:val="false"/>
          <w:i w:val="false"/>
          <w:caps w:val="false"/>
          <w:smallCaps w:val="false"/>
          <w:color w:val="000000"/>
          <w:spacing w:val="4"/>
          <w:sz w:val="20"/>
        </w:rPr>
        <w:t xml:space="preserve"> and </w:t>
      </w:r>
      <w:hyperlink r:id="rId25">
        <w:r>
          <w:rPr>
            <w:rStyle w:val="InternetLink"/>
          </w:rPr>
          <w:t>August 13,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26">
        <w:r>
          <w:rPr>
            <w:rStyle w:val="InternetLink"/>
          </w:rPr>
          <w:t>January 30, 2026</w:t>
        </w:r>
      </w:hyperlink>
      <w:r>
        <w:rPr>
          <w:rFonts w:ascii="Times New Roman;Times;serif" w:hAnsi="Times New Roman;Times;serif"/>
          <w:b w:val="false"/>
          <w:i w:val="false"/>
          <w:caps w:val="false"/>
          <w:smallCaps w:val="false"/>
          <w:color w:val="000000"/>
          <w:spacing w:val="4"/>
          <w:sz w:val="20"/>
        </w:rPr>
        <w:t xml:space="preserve">, </w:t>
      </w:r>
      <w:hyperlink r:id="rId27">
        <w:r>
          <w:rPr>
            <w:rStyle w:val="InternetLink"/>
          </w:rPr>
          <w:t>March 11, 2026</w:t>
        </w:r>
      </w:hyperlink>
      <w:r>
        <w:rPr>
          <w:rFonts w:ascii="Times New Roman;Times;serif" w:hAnsi="Times New Roman;Times;serif"/>
          <w:b w:val="false"/>
          <w:i w:val="false"/>
          <w:caps w:val="false"/>
          <w:smallCaps w:val="false"/>
          <w:color w:val="000000"/>
          <w:spacing w:val="4"/>
          <w:sz w:val="20"/>
        </w:rPr>
        <w:t xml:space="preserve">, </w:t>
      </w:r>
      <w:hyperlink r:id="rId28">
        <w:r>
          <w:rPr>
            <w:rStyle w:val="InternetLink"/>
          </w:rPr>
          <w:t>July 10,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 7.01 therein and Exhibit 99.1 thereto), </w:t>
      </w:r>
      <w:hyperlink r:id="rId29">
        <w:r>
          <w:rPr>
            <w:rStyle w:val="InternetLink"/>
          </w:rPr>
          <w:t>July 20, 2026</w:t>
        </w:r>
      </w:hyperlink>
      <w:r>
        <w:rPr>
          <w:rFonts w:ascii="Times New Roman;Times;serif" w:hAnsi="Times New Roman;Times;serif"/>
          <w:b w:val="false"/>
          <w:i w:val="false"/>
          <w:caps w:val="false"/>
          <w:smallCaps w:val="false"/>
          <w:color w:val="000000"/>
          <w:spacing w:val="4"/>
          <w:sz w:val="20"/>
        </w:rPr>
        <w:t xml:space="preserve">, </w:t>
      </w:r>
      <w:hyperlink r:id="rId30">
        <w:r>
          <w:rPr>
            <w:rStyle w:val="InternetLink"/>
          </w:rPr>
          <w:t>July 21,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 7.01 therein and Exhibit 99.1 thereto), </w:t>
      </w:r>
      <w:hyperlink r:id="rId31">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Items 2.02 and 7.01 therein), </w:t>
      </w:r>
      <w:hyperlink r:id="rId32">
        <w:r>
          <w:rPr>
            <w:rStyle w:val="InternetLink"/>
          </w:rPr>
          <w:t>July 30, 2026</w:t>
        </w:r>
      </w:hyperlink>
      <w:r>
        <w:rPr>
          <w:rFonts w:ascii="Times New Roman;Times;serif" w:hAnsi="Times New Roman;Times;serif"/>
          <w:b w:val="false"/>
          <w:i w:val="false"/>
          <w:caps w:val="false"/>
          <w:smallCaps w:val="false"/>
          <w:color w:val="000000"/>
          <w:spacing w:val="4"/>
          <w:sz w:val="20"/>
        </w:rPr>
        <w:t xml:space="preserve"> and </w:t>
      </w:r>
      <w:hyperlink r:id="rId33">
        <w:r>
          <w:rPr>
            <w:rStyle w:val="InternetLink"/>
          </w:rPr>
          <w:t>August 13,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Items 2.02 and 7.01 therein); and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w:t>
      </w:r>
      <w:hyperlink r:id="rId34">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our Annual Report on Form 10-K filed with the SEC on </w:t>
      </w:r>
      <w:hyperlink r:id="rId35">
        <w:r>
          <w:rPr>
            <w:rStyle w:val="InternetLink"/>
          </w:rPr>
          <w:t>March 14, 2023</w:t>
        </w:r>
      </w:hyperlink>
      <w:r>
        <w:rPr>
          <w:rFonts w:ascii="Times New Roman;Times;serif" w:hAnsi="Times New Roman;Times;serif"/>
          <w:b w:val="false"/>
          <w:i w:val="false"/>
          <w:caps w:val="false"/>
          <w:smallCaps w:val="false"/>
          <w:color w:val="000000"/>
          <w:spacing w:val="4"/>
          <w:sz w:val="20"/>
        </w:rPr>
        <w:t xml:space="preserve">, including any amendments or reports filed for the purpose of updating such description.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all documents we subsequently file with the SEC pursuant to Sections 13(a), 13(c), 14 and 15(d) of the Exchange Act, until the offering of the securities offered hereby is terminated or completed, shall be deemed to be incorporated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specifically stated to the contrary, none of the information that we disclose under Items 2.02 or 7.01 of any Current Report on Form 8-K that we may from time to time furnish to the SEC will be incorporated by reference into, or otherwise included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furnish to you, regardless of whether you are a beneficial owner, at no cost, upon written or oral request, a copy of all of the documents that have been incorporated by reference in this prospectus and any applicable prospectus supplement, other than the exhibits to such documents unless the exhibits are specifically incorporated by reference but not delivered with this prospectus. Requests should be directed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Yarrow Bioscience,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470 James Street, Suite 007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Haven, CT 06513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(203) 433-7577</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490" w:after="283"/>
        <w:jc w:val="center"/>
        <w:rPr>
          <w:caps w:val="false"/>
          <w:smallCaps w:val="false"/>
          <w:color w:val="000000"/>
        </w:rPr>
      </w:pPr>
      <w:r>
        <w:rPr>
          <w:caps w:val="false"/>
          <w:smallCaps w:val="false"/>
          <w:color w:val="000000"/>
        </w:rPr>
        <w:drawing>
          <wp:inline distT="0" distB="0" distL="0" distR="0">
            <wp:extent cx="3009900" cy="1028700"/>
            <wp:effectExtent l="0" t="0" r="0" b="0"/>
            <wp:docPr id="13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3" descr=""/>
                    <pic:cNvPicPr>
                      <a:picLocks noChangeAspect="1" noChangeArrowheads="1"/>
                    </pic:cNvPicPr>
                  </pic:nvPicPr>
                  <pic:blipFill>
                    <a:blip r:embed="rId36"/>
                    <a:stretch>
                      <a:fillRect/>
                    </a:stretch>
                  </pic:blipFill>
                  <pic:spPr bwMode="auto">
                    <a:xfrm>
                      <a:off x="0" y="0"/>
                      <a:ext cx="3009900" cy="10287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5,769,231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142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25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28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5060" w:type="dxa"/>
        <w:jc w:val="left"/>
        <w:tblInd w:w="1393" w:type="dxa"/>
        <w:tblLayout w:type="fixed"/>
        <w:tblCellMar>
          <w:top w:w="0" w:type="dxa"/>
          <w:left w:w="0" w:type="dxa"/>
          <w:bottom w:w="0" w:type="dxa"/>
          <w:right w:w="0" w:type="dxa"/>
        </w:tblCellMar>
      </w:tblPr>
      <w:tblGrid>
        <w:gridCol w:w="124"/>
        <w:gridCol w:w="890"/>
        <w:gridCol w:w="109"/>
        <w:gridCol w:w="109"/>
        <w:gridCol w:w="1211"/>
        <w:gridCol w:w="109"/>
        <w:gridCol w:w="109"/>
        <w:gridCol w:w="2245"/>
        <w:gridCol w:w="154"/>
      </w:tblGrid>
      <w:tr>
        <w:trPr/>
        <w:tc>
          <w:tcPr>
            <w:tcW w:w="124"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pPr>
            <w:r>
              <w:rPr>
                <w:spacing w:val="-7"/>
              </w:rPr>
              <w:t>Jefferies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11" w:type="dxa"/>
            <w:tcBorders/>
            <w:vAlign w:val="center"/>
          </w:tcPr>
          <w:p>
            <w:pPr>
              <w:pStyle w:val="TableContents"/>
              <w:bidi w:val="0"/>
              <w:spacing w:before="0" w:after="0"/>
              <w:jc w:val="left"/>
              <w:rPr/>
            </w:pPr>
            <w:r>
              <w:rPr>
                <w:spacing w:val="-7"/>
              </w:rPr>
              <w:t>TD Cowen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45" w:type="dxa"/>
            <w:tcBorders/>
            <w:vAlign w:val="center"/>
          </w:tcPr>
          <w:p>
            <w:pPr>
              <w:pStyle w:val="TableContents"/>
              <w:bidi w:val="0"/>
              <w:spacing w:before="0" w:after="0"/>
              <w:jc w:val="right"/>
              <w:rPr/>
            </w:pPr>
            <w:r>
              <w:rPr>
                <w:spacing w:val="-7"/>
              </w:rPr>
              <w:t>Guggenheim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80" w:after="283"/>
        <w:ind w:left="1393"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Lead Manager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LifeSci Capital</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120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September 10, 2026 </w:t>
      </w:r>
    </w:p>
    <w:p>
      <w:pPr>
        <w:pStyle w:val="TextBody"/>
        <w:bidi w:val="0"/>
        <w:spacing w:before="173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66044/000156604426000010/vyne-20260630.htm" TargetMode="External"/><Relationship Id="rId4" Type="http://schemas.openxmlformats.org/officeDocument/2006/relationships/hyperlink" Target="https://www.sec.gov/ix?doc=/Archives/edgar/data/1566044/000110465926095925/tm2622598d1_8ka.htm" TargetMode="External"/><Relationship Id="rId5" Type="http://schemas.openxmlformats.org/officeDocument/2006/relationships/hyperlink" Target="http://www.sec.gov/ix?doc=/Archives/edgar/data/1566044/000156604426000010/vyne-20260630.htm" TargetMode="External"/><Relationship Id="rId6" Type="http://schemas.openxmlformats.org/officeDocument/2006/relationships/hyperlink" Target="http://www.sec.gov/ix?doc=/Archives/edgar/data/1566044/000110465926095925/tm2622598d1_8ka.htm" TargetMode="External"/><Relationship Id="rId7" Type="http://schemas.openxmlformats.org/officeDocument/2006/relationships/hyperlink" Target="http://www.sec.gov/ix?doc=/Archives/edgar/data/1566044/000156604426000010/vyne-20260630.htm" TargetMode="External"/><Relationship Id="rId8" Type="http://schemas.openxmlformats.org/officeDocument/2006/relationships/hyperlink" Target="https://www.sec.gov/ix?doc=/Archives/edgar/data/1566044/000156604426000002/vyne-20251231.htm" TargetMode="External"/><Relationship Id="rId9" Type="http://schemas.openxmlformats.org/officeDocument/2006/relationships/hyperlink" Target="https://www.sec.gov/ix?doc=/Archives/edgar/data/1566044/000156604426000005/vyne-20260331.htm" TargetMode="External"/><Relationship Id="rId10" Type="http://schemas.openxmlformats.org/officeDocument/2006/relationships/hyperlink" Target="https://www.sec.gov/ix?doc=/Archives/edgar/data/1566044/000156604426000010/vyne-20260630.htm" TargetMode="External"/><Relationship Id="rId11" Type="http://schemas.openxmlformats.org/officeDocument/2006/relationships/hyperlink" Target="https://www.sec.gov/ix?doc=/Archives/edgar/data/1566044/000110465926008642/tm264541d1_8k.htm" TargetMode="External"/><Relationship Id="rId12" Type="http://schemas.openxmlformats.org/officeDocument/2006/relationships/hyperlink" Target="https://www.sec.gov/ix?doc=/Archives/edgar/data/1566044/000110465926026439/tm268461d1_8k.htm" TargetMode="External"/><Relationship Id="rId13" Type="http://schemas.openxmlformats.org/officeDocument/2006/relationships/hyperlink" Target="https://www.sec.gov/ix?doc=/Archives/edgar/data/1566044/000110465926082433/tm2620182d1_8k.htm" TargetMode="External"/><Relationship Id="rId14" Type="http://schemas.openxmlformats.org/officeDocument/2006/relationships/hyperlink" Target="https://www.sec.gov/ix?doc=/Archives/edgar/data/1566044/000110465926084760/tm2620687d2_8k.htm" TargetMode="External"/><Relationship Id="rId15" Type="http://schemas.openxmlformats.org/officeDocument/2006/relationships/hyperlink" Target="https://www.sec.gov/ix?doc=/Archives/edgar/data/1566044/000110465926085235/tm2620874d1_8k.htm" TargetMode="External"/><Relationship Id="rId16" Type="http://schemas.openxmlformats.org/officeDocument/2006/relationships/hyperlink" Target="https://www.sec.gov/ix?doc=/Archives/edgar/data/1566044/000110465926087601/tm2620687d3_8k.htm" TargetMode="External"/><Relationship Id="rId17" Type="http://schemas.openxmlformats.org/officeDocument/2006/relationships/hyperlink" Target="https://www.sec.gov/ix?doc=/Archives/edgar/data/1566044/000110465926088662/tm2621655d2_8k.htm" TargetMode="External"/><Relationship Id="rId18" Type="http://schemas.openxmlformats.org/officeDocument/2006/relationships/hyperlink" Target="https://www.sec.gov/ix?doc=/Archives/edgar/data/1566044/000110465926095925/tm2622598d1_8ka.htm" TargetMode="External"/><Relationship Id="rId19" Type="http://schemas.openxmlformats.org/officeDocument/2006/relationships/hyperlink" Target="https://www.sec.gov/ix?doc=/Archives/edgar/data/1566044/000110465926106699/tm2624937d1_8k.htm" TargetMode="External"/><Relationship Id="rId20" Type="http://schemas.openxmlformats.org/officeDocument/2006/relationships/hyperlink" Target="https://www.sec.gov/Archives/edgar/data/1566044/000162828023007900/exhibit4112312022.htm" TargetMode="External"/><Relationship Id="rId21" Type="http://schemas.openxmlformats.org/officeDocument/2006/relationships/hyperlink" Target="https://www.sec.gov/ix?doc=/Archives/edgar/data/0001566044/000162828023007900/vyne-20221231.htm" TargetMode="External"/><Relationship Id="rId22" Type="http://schemas.openxmlformats.org/officeDocument/2006/relationships/image" Target="media/image1.jpeg"/><Relationship Id="rId23" Type="http://schemas.openxmlformats.org/officeDocument/2006/relationships/hyperlink" Target="https://www.sec.gov/ix?doc=/Archives/edgar/data/1566044/000156604426000002/vyne-20251231.htm" TargetMode="External"/><Relationship Id="rId24" Type="http://schemas.openxmlformats.org/officeDocument/2006/relationships/hyperlink" Target="https://www.sec.gov/ix?doc=/Archives/edgar/data/1566044/000156604426000005/vyne-20260331.htm" TargetMode="External"/><Relationship Id="rId25" Type="http://schemas.openxmlformats.org/officeDocument/2006/relationships/hyperlink" Target="https://www.sec.gov/ix?doc=/Archives/edgar/data/1566044/000156604426000010/vyne-20260630.htm" TargetMode="External"/><Relationship Id="rId26" Type="http://schemas.openxmlformats.org/officeDocument/2006/relationships/hyperlink" Target="https://www.sec.gov/ix?doc=/Archives/edgar/data/1566044/000110465926008642/tm264541d1_8k.htm" TargetMode="External"/><Relationship Id="rId27" Type="http://schemas.openxmlformats.org/officeDocument/2006/relationships/hyperlink" Target="https://www.sec.gov/ix?doc=/Archives/edgar/data/1566044/000110465926026439/tm268461d1_8k.htm" TargetMode="External"/><Relationship Id="rId28" Type="http://schemas.openxmlformats.org/officeDocument/2006/relationships/hyperlink" Target="https://www.sec.gov/ix?doc=/Archives/edgar/data/1566044/000110465926082433/tm2620182d1_8k.htm" TargetMode="External"/><Relationship Id="rId29" Type="http://schemas.openxmlformats.org/officeDocument/2006/relationships/hyperlink" Target="https://www.sec.gov/ix?doc=/Archives/edgar/data/1566044/000110465926084760/tm2620687d2_8k.htm" TargetMode="External"/><Relationship Id="rId30" Type="http://schemas.openxmlformats.org/officeDocument/2006/relationships/hyperlink" Target="https://www.sec.gov/ix?doc=/Archives/edgar/data/1566044/000110465926085235/tm2620874d1_8k.htm" TargetMode="External"/><Relationship Id="rId31" Type="http://schemas.openxmlformats.org/officeDocument/2006/relationships/hyperlink" Target="https://www.sec.gov/ix?doc=/Archives/edgar/data/1566044/000110465926087601/tm2620687d3_8k.htm" TargetMode="External"/><Relationship Id="rId32" Type="http://schemas.openxmlformats.org/officeDocument/2006/relationships/hyperlink" Target="https://www.sec.gov/ix?doc=/Archives/edgar/data/1566044/000110465926088662/tm2621655d2_8k.htm" TargetMode="External"/><Relationship Id="rId33" Type="http://schemas.openxmlformats.org/officeDocument/2006/relationships/hyperlink" Target="https://www.sec.gov/ix?doc=/Archives/edgar/data/1566044/000110465926095925/tm2622598d1_8ka.htm" TargetMode="External"/><Relationship Id="rId34" Type="http://schemas.openxmlformats.org/officeDocument/2006/relationships/hyperlink" Target="https://www.sec.gov/Archives/edgar/data/1566044/000162828023007900/exhibit4112312022.htm" TargetMode="External"/><Relationship Id="rId35" Type="http://schemas.openxmlformats.org/officeDocument/2006/relationships/hyperlink" Target="https://www.sec.gov/ix?doc=/Archives/edgar/data/0001566044/000162828023007900/vyne-20221231.htm" TargetMode="External"/><Relationship Id="rId36" Type="http://schemas.openxmlformats.org/officeDocument/2006/relationships/image" Target="media/image1.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22089</Words>
  <Characters>118343</Characters>
  <CharactersWithSpaces>141277</CharactersWithSpaces>
  <Paragraphs>1376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