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918-1_424b5.htm"/>
        <w:bookmarkStart w:id="1" w:name="kstm2624918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333-277609</w:t>
      </w:r>
      <w:r>
        <w:rPr>
          <w:rFonts w:ascii="Times New Roman;Times;serif" w:hAnsi="Times New Roman;Times;serif"/>
          <w:b/>
          <w:i w:val="false"/>
          <w:caps w:val="false"/>
          <w:smallCaps w:val="false"/>
          <w:color w:val="000000"/>
          <w:sz w:val="20"/>
        </w:rPr>
        <w:t>​</w:t>
      </w:r>
    </w:p>
    <w:p>
      <w:pPr>
        <w:pStyle w:val="TextBody"/>
        <w:bidi w:val="0"/>
        <w:spacing w:lineRule="atLeast" w:line="230" w:before="557" w:after="437"/>
        <w:jc w:val="center"/>
        <w:rPr>
          <w:rFonts w:ascii="Times New Roman;Times;serif" w:hAnsi="Times New Roman;Times;serif"/>
          <w:b/>
          <w:i w:val="false"/>
          <w:caps w:val="false"/>
          <w:smallCaps w:val="false"/>
          <w:color w:val="FC0014"/>
          <w:sz w:val="19"/>
        </w:rPr>
      </w:pPr>
      <w:r>
        <w:rPr>
          <w:rFonts w:ascii="Times New Roman;Times;serif" w:hAnsi="Times New Roman;Times;serif"/>
          <w:b/>
          <w:i w:val="false"/>
          <w:caps w:val="false"/>
          <w:smallCaps w:val="false"/>
          <w:color w:val="FC0014"/>
          <w:spacing w:val="-4"/>
          <w:sz w:val="19"/>
        </w:rPr>
        <w:t>SUBJECT TO COMPLETION, DATED SEPTEMBER 10,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PRELIMINARY PROSPECTUS SUPPLEMENT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(To Prospectus Dated August 19, 2026)</w:t>
      </w:r>
      <w:r>
        <w:rPr>
          <w:rFonts w:ascii="Times New Roman;Times;serif" w:hAnsi="Times New Roman;Times;serif"/>
          <w:b/>
          <w:i w:val="false"/>
          <w:caps w:val="false"/>
          <w:smallCaps w:val="false"/>
          <w:color w:val="000000"/>
          <w:spacing w:val="4"/>
          <w:sz w:val="19"/>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2705100" cy="923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05100" cy="9239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230" w:after="283"/>
        <w:jc w:val="center"/>
        <w:rPr>
          <w:caps w:val="false"/>
          <w:smallCaps w:val="false"/>
          <w:color w:val="000000"/>
        </w:rPr>
      </w:pPr>
      <w:r>
        <w:rPr>
          <w:caps w:val="false"/>
          <w:smallCaps w:val="false"/>
          <w:color w:val="000000"/>
          <w:spacing w:val="-6"/>
        </w:rPr>
        <w:t xml:space="preserve">         </w:t>
      </w:r>
      <w:r>
        <w:rPr>
          <w:rFonts w:ascii="Times New Roman;Times;serif" w:hAnsi="Times New Roman;Times;serif"/>
          <w:b/>
          <w:i w:val="false"/>
          <w:caps w:val="false"/>
          <w:smallCaps w:val="false"/>
          <w:color w:val="000000"/>
          <w:spacing w:val="-6"/>
          <w:sz w:val="28"/>
        </w:rPr>
        <w:t>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Pre-funded Warrants to Purchase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1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are offering          shares of our common stock and, in lieu of common stock to certain investors that so choose, pre-funded warrants to purchase       shares of our common stock. The purchase price of each pre-funded warrant will equal the price per share at which shares of our common stock are being sold to the public in this offering, minus $0.0001 per share of common stock, the exercise price of each pre-funded warrant. The public offering price for each share of common stock is $      . We are also offering the shares of our common stock that are issuable from time to time upon exercise of the pre-funded warrants. Our common stock trades on the Nasdaq Capital Market (“Nasdaq”) under the symbol “YARW.” On September 9, 2026, the last reported sale price for our common stock on Nasdaq was $29.11 per share. </w:t>
      </w:r>
    </w:p>
    <w:p>
      <w:pPr>
        <w:pStyle w:val="TextBody"/>
        <w:bidi w:val="0"/>
        <w:spacing w:lineRule="atLeast" w:line="230" w:before="12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There is no established public trading market for the pre-funded warrants, and we do not expect a market to develop. We do not intend to apply for listing of the pre-funded warrants on Nasdaq or any securities exchange or nationally recognized trading system. Without an active trading market, the liquidity of the pre-funded warrants will be limited. </w:t>
      </w:r>
    </w:p>
    <w:p>
      <w:pPr>
        <w:pStyle w:val="TextBody"/>
        <w:bidi w:val="0"/>
        <w:spacing w:lineRule="atLeast" w:line="230" w:before="120" w:after="283"/>
        <w:ind w:left="1260" w:right="0" w:firstLine="400"/>
        <w:jc w:val="left"/>
        <w:rPr/>
      </w:pPr>
      <w:r>
        <w:rPr>
          <w:rFonts w:ascii="Times New Roman;Times;serif" w:hAnsi="Times New Roman;Times;serif"/>
          <w:b/>
          <w:i w:val="false"/>
          <w:caps w:val="false"/>
          <w:smallCaps w:val="false"/>
          <w:color w:val="000000"/>
          <w:spacing w:val="-4"/>
          <w:sz w:val="19"/>
        </w:rPr>
        <w:t xml:space="preserve">Investing in our securities involves risks. See the section titled “Risk Factors” beginning on page </w:t>
      </w:r>
      <w:hyperlink w:anchor="sRIFA">
        <w:r>
          <w:rPr>
            <w:rStyle w:val="InternetLink"/>
          </w:rPr>
          <w:t>S-6</w:t>
        </w:r>
      </w:hyperlink>
      <w:r>
        <w:rPr>
          <w:rFonts w:ascii="Times New Roman;Times;serif" w:hAnsi="Times New Roman;Times;serif"/>
          <w:b/>
          <w:i w:val="false"/>
          <w:caps w:val="false"/>
          <w:smallCaps w:val="false"/>
          <w:color w:val="000000"/>
          <w:spacing w:val="-4"/>
          <w:sz w:val="19"/>
        </w:rPr>
        <w:t xml:space="preserve"> of this prospectus supplement and page 4 of the accompanying prospectus, as well as in the documents incorporated by reference herein and therein, to read about factors you should consider before buying our securities.</w:t>
      </w:r>
      <w:r>
        <w:rPr>
          <w:rFonts w:ascii="Times New Roman;Times;serif" w:hAnsi="Times New Roman;Time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10" w:after="283"/>
        <w:ind w:left="126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nor any other regulatory body has approved or disapproved these securities,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tbl>
      <w:tblPr>
        <w:tblW w:w="8945" w:type="dxa"/>
        <w:jc w:val="left"/>
        <w:tblInd w:w="1260" w:type="dxa"/>
        <w:tblLayout w:type="fixed"/>
        <w:tblCellMar>
          <w:top w:w="0" w:type="dxa"/>
          <w:left w:w="0" w:type="dxa"/>
          <w:bottom w:w="28" w:type="dxa"/>
          <w:right w:w="0" w:type="dxa"/>
        </w:tblCellMar>
      </w:tblPr>
      <w:tblGrid>
        <w:gridCol w:w="4070"/>
        <w:gridCol w:w="109"/>
        <w:gridCol w:w="109"/>
        <w:gridCol w:w="109"/>
        <w:gridCol w:w="226"/>
        <w:gridCol w:w="917"/>
        <w:gridCol w:w="109"/>
        <w:gridCol w:w="109"/>
        <w:gridCol w:w="109"/>
        <w:gridCol w:w="110"/>
        <w:gridCol w:w="229"/>
        <w:gridCol w:w="1195"/>
        <w:gridCol w:w="110"/>
        <w:gridCol w:w="109"/>
        <w:gridCol w:w="109"/>
        <w:gridCol w:w="109"/>
        <w:gridCol w:w="226"/>
        <w:gridCol w:w="615"/>
        <w:gridCol w:w="109"/>
        <w:gridCol w:w="157"/>
      </w:tblGrid>
      <w:tr>
        <w:trPr/>
        <w:tc>
          <w:tcPr>
            <w:tcW w:w="40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w:t>
            </w:r>
            <w:r>
              <w:rPr/>
              <w:br/>
            </w:r>
            <w:r>
              <w:rPr>
                <w:spacing w:val="-3"/>
              </w:rPr>
              <w:t>PRE-FUNDED</w:t>
            </w:r>
            <w:r>
              <w:rPr/>
              <w:t xml:space="preserve"> </w:t>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70"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7"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19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615" w:type="dxa"/>
            <w:tcBorders/>
            <w:shd w:fill="CCEEFF" w:val="clear"/>
            <w:tcMar>
              <w:bottom w:w="0" w:type="dxa"/>
            </w:tcMar>
            <w:vAlign w:val="center"/>
          </w:tcPr>
          <w:p>
            <w:pPr>
              <w:pStyle w:val="TableContents"/>
              <w:bidi w:val="0"/>
              <w:spacing w:before="0" w:after="0"/>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70"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2"/>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7"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195" w:type="dxa"/>
            <w:tcBorders/>
            <w:tcMar>
              <w:bottom w:w="0" w:type="dxa"/>
            </w:tcMar>
            <w:vAlign w:val="center"/>
          </w:tcPr>
          <w:p>
            <w:pPr>
              <w:pStyle w:val="TableContents"/>
              <w:bidi w:val="0"/>
              <w:spacing w:before="0" w:after="283"/>
              <w:jc w:val="left"/>
              <w:rPr>
                <w:sz w:val="4"/>
                <w:szCs w:val="4"/>
              </w:rPr>
            </w:pPr>
            <w:r>
              <w:rPr>
                <w:sz w:val="4"/>
                <w:szCs w:val="4"/>
              </w:rPr>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615"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7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Yarrow Bioscience,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1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70" w:after="0"/>
        <w:ind w:left="1660" w:right="0" w:hanging="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See the section titled “Underwriting” for additional information regarding underwriting compensation. </w:t>
      </w:r>
      <w:r>
        <mc:AlternateContent>
          <mc:Choice Requires="wps">
            <w:drawing>
              <wp:anchor behindDoc="0" distT="10795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Delivery of the shares of common stock and pre-funded warrants is expected to be made on or about            , 2026. </w:t>
      </w:r>
    </w:p>
    <w:p>
      <w:pPr>
        <w:pStyle w:val="TextBody"/>
        <w:bidi w:val="0"/>
        <w:spacing w:lineRule="atLeast" w:line="230" w:before="12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have granted the underwriters an option for a period of 30 days to purchase up to an additional          shares of our common stock. If the underwriters exercise the option in full, the total underwriting discounts and commissions payable by us will be $       and the total proceeds to us, before expenses, will be $      .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1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Joint Book-Running Managers </w:t>
      </w:r>
    </w:p>
    <w:tbl>
      <w:tblPr>
        <w:tblW w:w="5091" w:type="dxa"/>
        <w:jc w:val="left"/>
        <w:tblInd w:w="1260" w:type="dxa"/>
        <w:tblLayout w:type="fixed"/>
        <w:tblCellMar>
          <w:top w:w="0" w:type="dxa"/>
          <w:left w:w="0" w:type="dxa"/>
          <w:bottom w:w="0" w:type="dxa"/>
          <w:right w:w="0" w:type="dxa"/>
        </w:tblCellMar>
      </w:tblPr>
      <w:tblGrid>
        <w:gridCol w:w="124"/>
        <w:gridCol w:w="898"/>
        <w:gridCol w:w="109"/>
        <w:gridCol w:w="109"/>
        <w:gridCol w:w="1216"/>
        <w:gridCol w:w="109"/>
        <w:gridCol w:w="109"/>
        <w:gridCol w:w="2263"/>
        <w:gridCol w:w="154"/>
      </w:tblGrid>
      <w:tr>
        <w:trPr/>
        <w:tc>
          <w:tcPr>
            <w:tcW w:w="124"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left"/>
              <w:rPr/>
            </w:pPr>
            <w:r>
              <w:rPr>
                <w:spacing w:val="-6"/>
              </w:rPr>
              <w:t>Jefferies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6" w:type="dxa"/>
            <w:tcBorders/>
            <w:vAlign w:val="center"/>
          </w:tcPr>
          <w:p>
            <w:pPr>
              <w:pStyle w:val="TableContents"/>
              <w:bidi w:val="0"/>
              <w:spacing w:before="0" w:after="0"/>
              <w:jc w:val="center"/>
              <w:rPr/>
            </w:pPr>
            <w:r>
              <w:rPr>
                <w:spacing w:val="-6"/>
              </w:rPr>
              <w:t>TD Cowen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3" w:type="dxa"/>
            <w:tcBorders/>
            <w:vAlign w:val="center"/>
          </w:tcPr>
          <w:p>
            <w:pPr>
              <w:pStyle w:val="TableContents"/>
              <w:bidi w:val="0"/>
              <w:spacing w:before="0" w:after="0"/>
              <w:jc w:val="right"/>
              <w:rPr/>
            </w:pPr>
            <w:r>
              <w:rPr>
                <w:spacing w:val="-6"/>
              </w:rPr>
              <w:t>Guggenheim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80" w:after="283"/>
        <w:ind w:left="1260" w:right="0" w:hanging="0"/>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Lead Manager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LifeSci Capital</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4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Prospectus supplement, dated                  , 2026</w:t>
      </w:r>
      <w:r>
        <w:rPr>
          <w:rFonts w:ascii="Times New Roman;Times;serif" w:hAnsi="Times New Roman;Times;serif"/>
          <w:b/>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3"/>
        <w:gridCol w:w="109"/>
        <w:gridCol w:w="109"/>
        <w:gridCol w:w="109"/>
        <w:gridCol w:w="109"/>
        <w:gridCol w:w="609"/>
        <w:gridCol w:w="109"/>
        <w:gridCol w:w="155"/>
      </w:tblGrid>
      <w:tr>
        <w:trPr/>
        <w:tc>
          <w:tcPr>
            <w:tcW w:w="75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PSS">
              <w:r>
                <w:rPr>
                  <w:rStyle w:val="InternetLink"/>
                  <w:spacing w:val="4"/>
                </w:rPr>
                <w:t>S-2</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S-4</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SNRF">
              <w:r>
                <w:rPr>
                  <w:rStyle w:val="InternetLink"/>
                  <w:spacing w:val="4"/>
                </w:rPr>
                <w:t>S-9</w:t>
              </w:r>
            </w:hyperlink>
            <w:hyperlink w:anchor="sS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UOP">
              <w:r>
                <w:rPr>
                  <w:rStyle w:val="InternetLink"/>
                  <w:spacing w:val="4"/>
                </w:rPr>
                <w:t>S-11</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DIL">
              <w:r>
                <w:rPr>
                  <w:rStyle w:val="InternetLink"/>
                  <w:spacing w:val="4"/>
                </w:rPr>
                <w:t xml:space="preserve">DILUTION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DIL">
              <w:r>
                <w:rPr>
                  <w:rStyle w:val="InternetLink"/>
                  <w:spacing w:val="4"/>
                </w:rPr>
                <w:t>S-12</w:t>
              </w:r>
            </w:hyperlink>
            <w:hyperlink w:anchor="sDI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DOSW">
              <w:r>
                <w:rPr>
                  <w:rStyle w:val="InternetLink"/>
                  <w:spacing w:val="4"/>
                </w:rPr>
                <w:t xml:space="preserve">DESCRIPTION OF SECURITIES WE ARE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DOSW">
              <w:r>
                <w:rPr>
                  <w:rStyle w:val="InternetLink"/>
                  <w:spacing w:val="4"/>
                </w:rPr>
                <w:t>S-14</w:t>
              </w:r>
            </w:hyperlink>
            <w:hyperlink w:anchor="sDOS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UFIT">
              <w:r>
                <w:rPr>
                  <w:rStyle w:val="InternetLink"/>
                  <w:spacing w:val="4"/>
                </w:rPr>
                <w:t>S-16</w:t>
              </w:r>
            </w:hyperlink>
            <w:hyperlink w:anchor="sUF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UND">
              <w:r>
                <w:rPr>
                  <w:rStyle w:val="InternetLink"/>
                  <w:spacing w:val="4"/>
                </w:rPr>
                <w:t>S-21</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S-30</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EXP">
              <w:r>
                <w:rPr>
                  <w:rStyle w:val="InternetLink"/>
                  <w:spacing w:val="4"/>
                </w:rPr>
                <w:t>S-31</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S-32</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IBR">
              <w:r>
                <w:rPr>
                  <w:rStyle w:val="InternetLink"/>
                  <w:spacing w:val="4"/>
                </w:rPr>
                <w:t>S-33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UF2">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UF2">
              <w:r>
                <w:rPr>
                  <w:rStyle w:val="InternetLink"/>
                  <w:spacing w:val="4"/>
                </w:rPr>
                <w:t>1</w:t>
              </w:r>
            </w:hyperlink>
            <w:hyperlink w:anchor="tSUF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5</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WMO">
              <w:r>
                <w:rPr>
                  <w:rStyle w:val="InternetLink"/>
                  <w:spacing w:val="4"/>
                </w:rPr>
                <w:t xml:space="preserve">SECURITIES WE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WMO">
              <w:r>
                <w:rPr>
                  <w:rStyle w:val="InternetLink"/>
                  <w:spacing w:val="4"/>
                </w:rPr>
                <w:t>8</w:t>
              </w:r>
            </w:hyperlink>
            <w:hyperlink w:anchor="tSW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14</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LEMA">
              <w:r>
                <w:rPr>
                  <w:rStyle w:val="InternetLink"/>
                  <w:spacing w:val="4"/>
                </w:rPr>
                <w:t>17</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17</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WYCF">
              <w:r>
                <w:rPr>
                  <w:rStyle w:val="InternetLink"/>
                  <w:spacing w:val="4"/>
                </w:rPr>
                <w:t>18</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on Form S-3 that we filed with the Securities and Exchange Commission (“SEC”) pursuant to the Securities Act of 1933, as amended (the “Securities Act”), utilizing a “shelf” registration process. We provide information to you about this offering of our securities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as our business, financial condition, results of operations and prospects may have changed since the earlier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anyone to provide you with information other than in this prospectus supplement, the accompanying prospectus or any free writing prospectus we may authorize to be delivered or made available to you. We take no responsibility for and cannot provide any assurance as to the reliability of any other information others may give you. We are not, and the underwriters are not, making an offer to sell our securities in any jurisdiction where the offer or sale is not permitted. The information in this prospectus supplement, the accompanying prospectus or any free writing prospectus is accurate only as of its date, regardless of its time of delivery or of any sale of our securities. Our business, financial condition, results of operations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titled “Where You Can Find More Information” and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investors outside the United States: we have not, and the underwriters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of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or incorporated by reference in this prospectus supplement and the accompanying prospectus and does not contain all of the information that you should consider before deciding to invest in our securities. You should read this entire prospectus supplement, including the information incorporated by reference herein, the accompanying prospectus and any related free writing prospectus, carefully, including the section titled “Risk Factors” included elsewhere in this prospectus supplement, the accompanying prospectus and any related free writing prospectus, and in the sections titled “Risk Factors” and “Management’s Discussion and Analysis of Financial Condition and Results of Operations” and our consolidated financial statements and the related notes thereto included in our </w:t>
      </w:r>
      <w:hyperlink r:id="rId3">
        <w:r>
          <w:rPr>
            <w:rStyle w:val="InternetLink"/>
          </w:rPr>
          <w:t>Quarterly Report on Form 10-Q for the quarter ended June 30, 2026</w:t>
        </w:r>
      </w:hyperlink>
      <w:r>
        <w:rPr>
          <w:rFonts w:ascii="Times New Roman;Times;serif" w:hAnsi="Times New Roman;Times;serif"/>
          <w:b w:val="false"/>
          <w:i/>
          <w:caps w:val="false"/>
          <w:smallCaps w:val="false"/>
          <w:color w:val="000000"/>
          <w:spacing w:val="4"/>
          <w:sz w:val="20"/>
          <w:bdr w:val="single" w:sz="8" w:space="1" w:color="000000"/>
        </w:rPr>
        <w:t xml:space="preserve"> and </w:t>
      </w:r>
      <w:hyperlink r:id="rId4">
        <w:r>
          <w:rPr>
            <w:rStyle w:val="InternetLink"/>
          </w:rPr>
          <w:t>Current Report on Form 8-K/A filed with the SEC on August 13, 2026</w:t>
        </w:r>
      </w:hyperlink>
      <w:r>
        <w:rPr>
          <w:rFonts w:ascii="Times New Roman;Times;serif" w:hAnsi="Times New Roman;Times;serif"/>
          <w:b w:val="false"/>
          <w:i/>
          <w:caps w:val="false"/>
          <w:smallCaps w:val="false"/>
          <w:color w:val="000000"/>
          <w:spacing w:val="4"/>
          <w:sz w:val="20"/>
          <w:bdr w:val="single" w:sz="8" w:space="1" w:color="000000"/>
        </w:rPr>
        <w:t xml:space="preserve">, before making an investment decision. Some of the statements in this summary constitute forward-looking statements; see the section titled “Special Note Regarding Forward-Looking Statements.” In this prospectus supplement, unless the context requires otherwise, references to “we,” “us,” “our,” “Yarrow” or “the Company” refer to Yarrow Bioscience, Inc.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(“GD”), and thyroid eye disease (“TED”). Both GD and TED are serious and poorly treated autoimmune diseases in which autoantibodies against TSHR attack and overstimulate the receptor, leading to a wide spectrum of thyroidal and extra-thyroidal clinical sequelae.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Results of Operations and Financial Condition as of August 31, 2026</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consolidated financial statements as of and for the three and nine months ended September 30, 2026 are not yet available, and our closing procedures for the month ended August 31, 2026 are not yet complete. We estimate that our cash and cash equivalents as of August 31, 2026 were approximately $108.8 million, as compared to $18.7 million as of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preliminary estimate is derived from our internal books and records and reflects management’s preliminary determinations based on information currently available. Our financial closing procedures for the period are not complete, and our actual results may differ materially from this estimate as a result of the completion of those procedures, final adjustments, and other developments arising before our financial statements for the period are finalized. This preliminary estimate is not a comprehensive statement of our financial results, is not necessarily indicative of results for any future period and should not be viewed as a substitute for financial statements prepared in accordance with generally accepted accounting principles in the United States of America. You should not place undue reliance on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preliminary estimate has been prepared by, and is the responsibility of, our management. Baker Tilly US, LLP, our independent registered public accounting firm, has not audited, reviewed, compiled, or performed any procedures with respect to this preliminary estimate. Accordingly, Baker Tilly US, LLP does not express an opinion or any other form of assurance with respect thereto and assumes no responsibility for, and disclaims any association with, this preliminary financial data.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the net proceeds from this offering, combined with our existing cash, cash equivalents and investments, to fund operations into 2030, including completion of our Phase 2b GD trial and preparatory work for our next planned TED study. This estimate is based on assumptions that may prove to be wrong, and we could exhaust our available capital resources sooner than expected. See the sections titled “Risk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Factors” and “Special Note Regarding Forward-Looking Statements” included elsewhere in this prospectus supplement for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October 2011 as a Delaware corporation under the name Tigercat Pharma, Inc. In September 2020, we changed our name from “Menlo Therapeutics Inc.” to “VYNE Therapeutics Inc.,” following our merger with Foamix Pharmaceuticals Ltd. in March 2020. In July 2026, we changed our name from “VYNE Therapeutics Inc.” to “Yarrow Bioscience, Inc.,” following our merger (the “Merger”) with Yarrow Bioscience Operating Company Corp. (formerly known as Yarrow Bioscience, Inc.) (“Pre-Merger Yarrow”). Our Company prior to the Merger is referred to herein as “Pre-Merger VYNE.”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24, 2026, we effected a 1-for-50 reverse stock split of our common stock (the “Reverse Stock Split”). All references to common stock share and per share amounts in this prospectus supplement are presented on a post-Reverse Stock Split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470 James Street, Suite 007, New Haven, Connecticut 06513 and our telephone number is (203) 433-7577. Our website address is </w:t>
      </w:r>
      <w:r>
        <w:rPr>
          <w:rFonts w:ascii="Times New Roman;Times;serif" w:hAnsi="Times New Roman;Times;serif"/>
          <w:b w:val="false"/>
          <w:i/>
          <w:caps w:val="false"/>
          <w:smallCaps w:val="false"/>
          <w:color w:val="000000"/>
          <w:spacing w:val="4"/>
          <w:sz w:val="20"/>
          <w:bdr w:val="single" w:sz="8" w:space="1" w:color="000000"/>
        </w:rPr>
        <w:t>www.yarrowbioscience.com</w:t>
      </w:r>
      <w:r>
        <w:rPr>
          <w:rFonts w:ascii="Times New Roman;Times;serif" w:hAnsi="Times New Roman;Times;serif"/>
          <w:b w:val="false"/>
          <w:i w:val="false"/>
          <w:caps w:val="false"/>
          <w:smallCaps w:val="false"/>
          <w:color w:val="000000"/>
          <w:spacing w:val="4"/>
          <w:sz w:val="20"/>
          <w:bdr w:val="single" w:sz="8" w:space="1" w:color="000000"/>
        </w:rPr>
        <w:t xml:space="preserve">. The information contained on, or accessible through, our website is not incorporated by reference into this prospectus or the accompanying base prospectus. We have included our website in this prospectus solely as an inactive textual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Pre-funded warrants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offering, in lieu of common stock to certain investors that so choose, pre-funded warrants to purchase     shares of our common stock. The purchase price of each pre-funded warrant equals the price per share at which the shares of our common stock are being sold to the public in this offering, minus $0.0001 per share of common stock, which is the exercise price of each pre-funded warrant. Each pre-funded warrant will be exercisable at any time after the date of issuance of such pre-funded warrant, subject to an ownership limitation. See the section titled “Description of Securities We Are Offering” for additional information. This prospectus supplement also relates to the offering of the shares of our common stock issuable upon exercise of the pre-funded warrants.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 to purchase additional shares of common stock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underwriters have a 30-day option to purchase up to     additional shares of our common stock at the public offering price, less underwriting discounts and commissions.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immediately after this offering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shares, or     shares if the underwriters exercise their option to purchase additional shares of our common stock in full, assuming no exercise of the pre-funded warrants offered and sold in this offering.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estimate that our net proceeds from this offering will be approximately $      million (or approximately $      million if the underwriters exercise in full their option to purchase additional shares of our common stock), based on the public offering price of $      per share, after deducting the underwriting discounts and commissions and estimated offering expenses and advisory fees payable by 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of this offering, together with our existing cash, cash equivalents and investments, to fund research and development expenses for our pipeline and general corporate purposes, which may include working capital, capital expenditures and other general corporate purposes. See the section titled “Use of Proceeds” for additional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read and consider the information set forth in the section titled “Risk Factors,” together with all of the other information included in or incorporated by reference, in this prospectus supplement before deciding whether to invest in our securities.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Capital Market trading symbol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YARW.” There is no established public trading market for the pre-funded warrants, and we do not intend to apply for listing of the pre-funded warrants on the Nasdaq Capital Market or any securities exchange or nationally recognized trading system.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information in this prospectus supplement related to the number of shares of our common stock to be outstanding immediately after this offering is based on 2,803,078 shares of our common stock outstanding as of June 30, 2026 on a pro forma basis, as set forth in our unaudited pro forma condensed combined financial information as of June 30, 2026 included in our Current Report on Form 8-K/A filed with the SEC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13, 2026, which gives effect to the Merger and combines the historical balance sheets of Pre-Merger VYNE and Pre-Merger Yarrow as if the Merger had been consummated as of such date. The pro forma number of shares of our common stock outstanding as of June 30, 2026 as used throughout this prospectus supplement, unless otherwise indicated,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2,002,282 shares of common stock issuable on a pro forma basis upon the exercise of stock options outstanding as of June 30, 2026, at a weighted-average exercise price of $6.19 per share;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25,781,240 shares of common stock issuable on a pro forma basis upon the exercise of pre-funded warrants outstanding as of June 30, 2026, at a weighted-average exercise price of $0.0001 per share;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2,688,931 shares of common stock reserved for future issuance on a pro forma basis under the 2026 Stock Incentive Plan as of June 30, 2026; and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336,116 shares of common stock reserved for future issuance on a pro forma basis under the 2026 Employee Stock Purchase Plan as of June 30, 2026.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indicated, all information in this prospectus supplement assumes: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outstanding options, warrants or pre-funded warrants after June 30, 2026;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the pre-funded warrants offered and sold in this offering; and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the underwriters’ option to purchase additional shares of our common stock.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Up to $50.0 million of shares of our common stock were available for sale under the Amended and Restated Sales Agreement (the “Amended and Restated Sales Agreement”) that we entered into on August 13, 2026 with TD Securities (USA) LLC, as sales agent. As of the date of this prospectus supplement, we have not sold any shares of our common stock under the Amended and Restated Sales Agreement. We have agreed not to make any sales under the Amended and Restated Sales Agreement prior to 30 days from the date of this prospectus supplement unless the underwriters have exercised their option to purchase additional shares in full and all such additional shares have been issued.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securities involves a high degree of risk. Before you decide to invest in our securities, you should consider carefully the risks described below, as well as the risks set forth under the section titled “Risk Factors” in our Quarterly Report on Form 10-Q for the quarter ended June 30, 2026, which is incorporated by reference herein. You should also refer to the other information contained in this prospectus supplement, the accompanying prospectus, any related free writing prospectus and the documents incorporated by reference herein, including our consolidated financial statements and the related notes and the section titled “Management’s Discussion and Analysis of Financial Condition and Results of Operations” included in our </w:t>
      </w:r>
      <w:hyperlink r:id="rId5">
        <w:r>
          <w:rPr>
            <w:rStyle w:val="InternetLink"/>
          </w:rPr>
          <w:t>Quarterly Report on Form 10-Q for the quarter ended June 30, 2026</w:t>
        </w:r>
      </w:hyperlink>
      <w:r>
        <w:rPr>
          <w:rFonts w:ascii="Times New Roman;Times;serif" w:hAnsi="Times New Roman;Times;serif"/>
          <w:b w:val="false"/>
          <w:i/>
          <w:caps w:val="false"/>
          <w:smallCaps w:val="false"/>
          <w:color w:val="000000"/>
          <w:spacing w:val="4"/>
          <w:sz w:val="20"/>
        </w:rPr>
        <w:t xml:space="preserve"> and </w:t>
      </w:r>
      <w:hyperlink r:id="rId6">
        <w:r>
          <w:rPr>
            <w:rStyle w:val="InternetLink"/>
          </w:rPr>
          <w:t>Current Report on Form 8-K/A filed with the SEC on August 13, 2026</w:t>
        </w:r>
      </w:hyperlink>
      <w:r>
        <w:rPr>
          <w:rFonts w:ascii="Times New Roman;Times;serif" w:hAnsi="Times New Roman;Times;serif"/>
          <w:b w:val="false"/>
          <w:i/>
          <w:caps w:val="false"/>
          <w:smallCaps w:val="false"/>
          <w:color w:val="000000"/>
          <w:spacing w:val="4"/>
          <w:sz w:val="20"/>
        </w:rPr>
        <w:t xml:space="preserve">. We believe these risks are the risks that are material to us as of the date of this prospectus supplement. If any of these risks actually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stock may be volatile, and you could lose all or part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our common stock has fluctuated, and is likely to continue to fluctuate substantially in response to various factors, some of which are beyond our control, including the factors discussed in this “Risk Factors” section and elsewhere in this prospectus supplement, the accompanying prospectus and the documents incorporated by reference herein. The realization of any of these factors could have a dramatic and adverse impact on the market price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stock market in general, and the market for biotechnology and biopharmaceutical companies in particular, have historically been particularly volatile and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the price at which you purchase your shares,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 purchase shares of our common stock in this offering, or pre-funded warrants in lieu thereof, you will incur immediate and substantial dilution and may experience additional dilution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suffer immediate and substantial dilution with respect to the common stock or the shares of common stock underlying the pre-funded warrants you purchase in this offering. If you purchase common stock (or pre-funded warrants in lieu thereof) in this offering at the public offering price of $      per share (or $       per pre-funded warrant in lieu thereof), and assuming that the underwriters do not exercise their option to purchase additional shares of common stock in this offering, you will incur immediate and substantial dilution of $      per share, representing the difference between the public offering price of $      per share and our pro forma net tangible book value per share as of June 30, 2026. See the section titled “Dilution” for a more detailed description of the dilution to new investors in this offering. In addition, to the extent that the pre-funded warrants issued in this offering are exercised, stock options are exercised, restricted stock units vest and settle or we raise additional funds by issuing equity securities, you will experience further dilution.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pre-funded warrants being offered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Nasdaq. Without an active market, the liquidity of these pre-funded warrants will be limited.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pre-funded warrants purchased in this offering will have no rights as common stockholders until such holders exercise their pre-funded warrants and acquire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holders of the pre-funded warrants acquire shares of our common stock upon exercise of such pre-funded warrants, the holders will have no rights with respect to the shares of our common stock underlying such pre-funded warrants, such as voting rights or the rights to receive dividends. Upon exercise of the pre-funded warrants, the holders will be entitled to exercise the rights of a common stockholder only as to matters for which the record date occurs after the exercise.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not receive significant additional funds upon the exercise of the pre-funded warrants being offered.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Significant holders or beneficial owners of our common stock may not be permitted to exercise pre-funded warrants that they hold.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pre-funded warrants will not be entitled to exercise any portion of any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circumstances, you could seek to sell your pre-funded warrants to realize value, but you may be unable to do so in the absence of an established trading market for the pre-funded warrants.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maintain a current and effective registration statement relating to the shares of common stock issuable upon exercise of the pre-funded warrants, holders will only be able to exercise such pre-funded warrants on a “cashless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holders exercised their warrants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sale of a substantial number of shares of our common stock, including any shares issuable upon exercise of any pre-funded warrants, may cause the price of our common stock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what effect, if any, future sales of our shares in the public market or the availability of shares for sale will have on the market price of our common stock. However, future sales of substantial amounts of our common stock in the public market, including shares issued upon exercise of any pre-funded warrants issued in this offering or option awards or shares sold pursuant to the Amended and Restated Sales Agreement, or the perception that such sales may occur, could adversely affect the market price of our common stock. We also expect that significant additional capital will be needed in the future to continue our planned operations. To raise capital, we may sell common stock, convertible securities or other equity securities in one or more transactions at prices and in a manner we determine from time to time. These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the perception in the market that the holders of a large number of shares intend to sell shares, could reduce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Participation in this offering by certain of our existing stockholders and their affiliated entities may reduce the public float for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our existing stockholders and their affiliated entities purchase shares of our common stock in this offering, such purchases would reduce the available public float of our common stock because such purchasers would be restricted from selling such shares during the 60-day period following this offering and thereafter would be subject to volume limitations pursuant to restrictions under applicable securities laws. As a result, any purchase of shares of our common stock by our existing stockholders and their affiliated entities in this offering will reduce the liquidity of our common stock relative to what it would have been had these shares been purchased by investors that were not our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in the use of the net proceeds from this offering and may not use them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from this offering, including for the purposes described in the section titled “Use of Proceeds,” and you will be relying on the judgment of our management regarding the application of these proceeds. You will not have the opportunity, as part of your investment decision, to assess whether the proceeds are being used appropriately. Our management might not apply the proceeds in ways that ultimately increase or maintain the value of your investment. If we do not invest or apply the proceeds from this offering in ways that enhance stockholder value, we may fail to achieve expected financial results, which could cause our stock price to decline.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the information incorporated by reference herein and therein contain “forward-looking statements” within the meaning of the federal securities laws, which statements are subject to substantial risks and uncertainties and are based on estimates and assumptions. All statements, other than statements of historical facts, included in this prospectus supplement, the accompanying prospectus and the information incorporated by reference herein and therein, including, without limitation, statements concerning our plans, objectives, goals, expectations, hopes, beliefs, intentions, assumptions, projections, estimates or strategies and any underlying assumptions regarding the future, our future results of operations and financial position, and other information referred to under the sections titled “Prospectus Supplement Summary” and “Risk Factors” in this prospectus supplement and the sections titled “Risk Factors,” “Management’s Discussion and Analysis of Financial Condition and Results of Operations” in our </w:t>
      </w:r>
      <w:hyperlink r:id="rId7">
        <w:r>
          <w:rPr>
            <w:rStyle w:val="InternetLink"/>
          </w:rPr>
          <w:t>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which is incorporated by reference herein, are forward-looking statements. In some cases, you can identify forward-looking statements by terms such as “aim,” “may,” “might,” “will,” “would,” “shall,” “objective,” “intend,” “target,” “should,” “could,” “can,” “expect,” “anticipate,” “believe,” “design,” “estimate,” “forecast,” “predict,” “project,” “potential,” “possible,” “plan,” “seek,” “contemplate,” “goal,” “likely” or “continue” or the negative of these terms and similar expressions intended to identify forward-looking statements, but the absence of these terms does not mean that a statement is not forward-looking. Forward-looking statements are not historical facts and are based on our current expectations and beliefs with respect to future events and their potential effects and impacts. There can be no assurance that future events affecting us will be those that have been anticipated. Given the significant risks and uncertainties, you should not place undue reliance on these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a number of risks, uncertainties and other factors that could cause our actual results or outcomes, or the timing of our results or outcomes, to differ materially from the forward-looking statements expressed or implied in this prospectus supplement and the accompanying prospectus. Such risks, uncertainties and other factors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on our strategy for the development of YB-101;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directors, officers, key employees and consultants;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grow and manage our growth effectively;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for our current or future product candidates that we may identify or develop;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ensure adequate supply of our current or future product candidates;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third-party relationships necessary to conduct our business;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 adequate safety or efficacy profile for our current or future product candidates that we may pursue;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execution of our strategic plans for our business, our current or future product candidates we may develop and our technology;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our product candidates and technology;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for our current or future product candidates we may develop;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about the size of our market opportunity;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expenses, future revenues, capital requirements and our needs for additional financing;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establish collaborations;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liquidity; </w:t>
      </w:r>
      <w:r>
        <mc:AlternateContent>
          <mc:Choice Requires="wps">
            <w:drawing>
              <wp:anchor behindDoc="0" distT="0" distB="0" distL="254000" distR="0" simplePos="0" locked="0" layoutInCell="1" allowOverlap="1" relativeHeight="28">
                <wp:simplePos x="0" y="0"/>
                <wp:positionH relativeFrom="column">
                  <wp:align>left</wp:align>
                </wp:positionH>
                <wp:positionV relativeFrom="line">
                  <wp:posOffset>635</wp:posOffset>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including the impact of government regulation;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consultants and to identify, hire and retain additional qualified professionals;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adequate internal controls over financial reporting;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global economic uncertainty and financial market volatility caused by economic effects of volatility in inflation and interest rates, tariffs, geopolitical instability, changes in international trade relationships and conflicts;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incorporated by reference under the section titled “Risk Factors”; and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anticipated use of our existing resources and the proceeds from this offering.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may be other factors that may cause our actual results or outcomes, or the timing of those results or outcomes, to differ materially from the forward-looking statements expressed or implied in this prospectus supplement and the accompanying prospectus, including factors disclosed in the section titled “Risk Factors” included in this prospectus supplement and the accompanying prospectus and the sections titled “Risk Factors” and “Management’s Discussion and Analysis of Financial Condition and Results of Operations” included in our Quarterly Report on Form 10-Q for the quarter ended June 30, 2026 and Current Report on Form 8-K/A filed with the SEC on August 13, 2026. You should evaluate all forward-looking statements made in this prospectus supplement and the accompanying prospectus in the context of these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risks, uncertainties and other factors referred to above and elsewhere in this prospectus supplement and the accompanying prospectus and in the documents incorporated by reference herein may not contain all of the risks, uncertainties and other factors that may affect us, our future results, operations and outcomes. Moreover, new risks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 Past performance is not indicative of future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statements in this prospectus supplement, the accompanying prospectus and the documents incorporated by reference herein and therein apply only as of the date made and are expressly qualified in their entirety by the cautionary statements included in this prospectus supplement. Except as required by law, we disclaim any intent to publicly update or revise any forward-looking statements, whether as a result of new information, future events, changes in assumptions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statements that “we believe” and similar statements reflect our beliefs and opinions on the relevant subject. These statements are based upon information available to us as of the date of this prospectus supplement, and while we believe we have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we will receive net proceeds of approximately $     million (or approximately $     million if the underwriters’ option to purchase additional shares is exercised in full) from the sale of the shares of common stock and pre-funded warrants offered by us in this offering, based on the public offering price of $     per share of common stock and $     per pre-funded warrant (which equals the price per share at which the shares of our common stock are being sold to the public in this offering, minus $0.0001 per share of common stock), after deducting the underwriting discounts and commissions and estimated offering expenses and advisory fees payable by us, and excluding the proceeds, if any, from the exercise of the pre-funded warrants sold in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of this offering, together with our existing cash, cash equivalents and investments, to fund research and development expenses for our pipeline and general corporate purposes, which may include working capital, capital expenditures and other general corporate purposes. We may use a portion of the proceeds to license, acquire or invest in new product candidates or for drug development activities related to such product candidates, complementary businesses, technology or assets; however, we have no current commitments to do so. The amount and timing of our actual expenditures will depend on numerous factors. As a result, our management will have broad discretion over the use of the proceeds from this offering. We expect the net proceeds from this offering, combined with our existing cash, cash equivalents and investments, to fund operations into 2030, including completion of our Phase 2b GD trial and preparatory work for our next planned TED study.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amounts that we will actually spend on the uses set forth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amount will not be sufficient for us to fund our product candidate through regulatory approval and commercialization, and we will need to raise substantial additional capital in order to do so. Until we achieve profitability, we plan to fund our operations and capital expenditures with cash on hand and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the use of the net proceeds from this offering, we intend to invest the proceeds in a variety of capital preservation investments, including interest-bearing, investment-grade securities, certificates of deposit or government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IL"/>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our common stock in this offering (or pre-funded warrants in lieu thereof), your ownership interest will be immediately diluted to the extent of the difference between the public offering price per share of our common stock (or pre-funded warrant in lieu thereof) and the unaudited pro forma net tangible book value per share of common stock immediately after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 forma net tangible book value as of June 30, 2026 (which gives effect to the Merger and combines the historical balance sheets of Pre-Merger VYNE and Pre-Merger Yarrow as if the Merger had been consummated as of such date) was $111.9 million, or $39.92 per share of common stock. Our pro forma net tangible book value is the amount of our pro forma total tangible assets less our pro forma total liabilities. Pro forma net tangible book value per share of common stock represents pro forma net tangible book value divided by the total number of pro forma shares of our common stock outstanding as of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our issuance and sale of      shares of our common stock and      pre-funded warrants in this offering at the public offering price of $      per share and $     per pre-funded warrant (which equals the price per share at which the shares of our common stock are being sold to the public in this offering, minus $0.0001 per share of common stock), and after deducting the underwriting discounts and commissions and estimated offering expenses and advisory fees payable by us, our as adjusted pro forma net tangible book value as of June 30, 2026 would have been $     million, or $     per share of common stock. This represents an immediate increase in as adjusted pro forma net tangible book value per share of $     to existing stockholders and immediate dilution of $     in as adjusted pro forma net tangible book value per share to new investors purchasing shares of common stock in this offering. Dilution per share to new investors is determined by subtracting as adjusted pro forma net tangible book value per share of common stock after this offering from the public offering price per share paid by new investors. The following table illustrates this dilution on a per share basis: </w:t>
      </w:r>
    </w:p>
    <w:tbl>
      <w:tblPr>
        <w:tblW w:w="8812" w:type="dxa"/>
        <w:jc w:val="left"/>
        <w:tblInd w:w="1393" w:type="dxa"/>
        <w:tblLayout w:type="fixed"/>
        <w:tblCellMar>
          <w:top w:w="0" w:type="dxa"/>
          <w:left w:w="0" w:type="dxa"/>
          <w:bottom w:w="0" w:type="dxa"/>
          <w:right w:w="0" w:type="dxa"/>
        </w:tblCellMar>
      </w:tblPr>
      <w:tblGrid>
        <w:gridCol w:w="124"/>
        <w:gridCol w:w="6028"/>
        <w:gridCol w:w="109"/>
        <w:gridCol w:w="109"/>
        <w:gridCol w:w="109"/>
        <w:gridCol w:w="226"/>
        <w:gridCol w:w="646"/>
        <w:gridCol w:w="109"/>
        <w:gridCol w:w="109"/>
        <w:gridCol w:w="109"/>
        <w:gridCol w:w="109"/>
        <w:gridCol w:w="226"/>
        <w:gridCol w:w="53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028" w:type="dxa"/>
            <w:tcBorders/>
            <w:shd w:fill="CCEEFF" w:val="clear"/>
            <w:vAlign w:val="center"/>
          </w:tcPr>
          <w:p>
            <w:pPr>
              <w:pStyle w:val="TableContents"/>
              <w:bidi w:val="0"/>
              <w:spacing w:before="0" w:after="0"/>
              <w:jc w:val="left"/>
              <w:rPr>
                <w:spacing w:val="4"/>
              </w:rPr>
            </w:pPr>
            <w:r>
              <w:rPr>
                <w:spacing w:val="4"/>
              </w:rPr>
              <w:t xml:space="preserve">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3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028" w:type="dxa"/>
            <w:tcBorders/>
            <w:vAlign w:val="center"/>
          </w:tcPr>
          <w:p>
            <w:pPr>
              <w:pStyle w:val="TableContents"/>
              <w:bidi w:val="0"/>
              <w:spacing w:before="0" w:after="0"/>
              <w:ind w:left="200" w:right="0" w:hanging="0"/>
              <w:jc w:val="left"/>
              <w:rPr>
                <w:spacing w:val="4"/>
              </w:rPr>
            </w:pPr>
            <w:r>
              <w:rPr>
                <w:spacing w:val="4"/>
              </w:rPr>
              <w:t xml:space="preserve">Pro forma 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39.92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2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Increase in pro forma net tangible book value per share attributable to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3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02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As adjusted pro forma net tangible book value per share immediately after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64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35" w:type="dxa"/>
            <w:tcBorders>
              <w:bottom w:val="single" w:sz="2"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028" w:type="dxa"/>
            <w:tcBorders/>
            <w:shd w:fill="CCEEFF" w:val="clear"/>
            <w:vAlign w:val="center"/>
          </w:tcPr>
          <w:p>
            <w:pPr>
              <w:pStyle w:val="TableContents"/>
              <w:bidi w:val="0"/>
              <w:spacing w:before="0" w:after="0"/>
              <w:jc w:val="left"/>
              <w:rPr>
                <w:spacing w:val="4"/>
              </w:rPr>
            </w:pPr>
            <w:r>
              <w:rPr>
                <w:spacing w:val="4"/>
              </w:rPr>
              <w:t xml:space="preserve">Dilution in pro forma net tangible book value per share to new investors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3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dilution information discussed above assumes no exercise of the pre-funded warrants sold in this offering and is illustrative only. Investors who receive shares of our common stock upon the exercise of the pre-funded warrants offered hereby may experience additional dilution depending on our net tangible book value at the time of exercise.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underwriters exercise in full their option to purchase additional shares, our as adjusted pro forma net tangible book value per share after this offering would be $     , representing an immediate increase in as adjusted pro forma net tangible book value per share of $     to existing stockholders and immediate dilution in as adjusted pro forma net tangible book value per share of $     to new investors purchasing shares of common stock in this offering at the public offering price of $     per share, and after deducting the underwriting discounts and commissions and estimated offering expenses and advisory fees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tables and calculations are based on 2,803,078 shares of our pro forma common stock outstanding as of June 30, 2026 (which gives effect to the Merger and combines the historical balance sheets of Pre-Merger VYNE and Pre-Merger Yarrow as if the Merger had been consummated as of such date) and exclude: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2,002,282 shares of common stock issuable on a pro forma basis upon the exercise of stock options outstanding as of June 30, 2026, at a weighted-average exercise price of $6.19 per share;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25,781,240 shares of common stock issuable on a pro forma basis upon the exercise of pre-funded warrants outstanding as of June 30, 2026, at a weighted-average exercise price of $0.0001 per share;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2,688,931 shares of common stock reserved for future issuance on a pro forma basis under the 2026 Stock Incentive Plan as of June 30, 2026; and </w:t>
      </w:r>
      <w:r>
        <mc:AlternateContent>
          <mc:Choice Requires="wps">
            <w:drawing>
              <wp:anchor behindDoc="0" distT="0" distB="0" distL="254000" distR="0" simplePos="0" locked="0" layoutInCell="1" allowOverlap="1" relativeHeight="37">
                <wp:simplePos x="0" y="0"/>
                <wp:positionH relativeFrom="column">
                  <wp:align>left</wp:align>
                </wp:positionH>
                <wp:positionV relativeFrom="line">
                  <wp:posOffset>635</wp:posOffset>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336,116 shares of common stock reserved for future issuance on a pro forma basis under the 2026 Employee Stock Purchase Plan as of June 30, 2026.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extent that any options are exercised or we otherwise issue additional shares of common stock or securities convertible into shares of our common stock in the future, there will be further dilution to new investors.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SW"/>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WE ARE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shares of our common stock in this offering. See the section titled “Description of Securities” in the accompanying prospectus for more information regarding our shares of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attributes and characteristics of the pre-funded warrants. The form of pre-funded warrant will be provided to the pre-funded warrant purchasers in this offering and will be filed as an exhibit to a Current Report on Form 8-K filed in connection with this offering and incorporated by reference into the registration statement of which this prospectus supplement forms a part. The following summary is subject in all respects to the provisions contained in the pre-funded warrants.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Pre-funded warrants will be issued in certificated form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Duration and Exercise Price.   </w:t>
      </w:r>
      <w:r>
        <w:rPr>
          <w:rFonts w:ascii="Times New Roman;Times;serif" w:hAnsi="Times New Roman;Times;serif"/>
          <w:b w:val="false"/>
          <w:i w:val="false"/>
          <w:caps w:val="false"/>
          <w:smallCaps w:val="false"/>
          <w:color w:val="000000"/>
          <w:spacing w:val="4"/>
          <w:sz w:val="20"/>
        </w:rPr>
        <w:t xml:space="preserve">Each pre-funded warrant entitles the holder thereof to purchase shares of our common stock at an exercise price equal to $0.0001 per share. Each pre-funded warrant will be exercisable at any time beginning on the date of issuance. The number of shares of our common stock issuable upon exercise of each pre-funded warrant is subject to adjustment in the event of stock dividends, stock splits or similar events affecting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Exercisability.</w:t>
      </w:r>
      <w:r>
        <w:rPr>
          <w:rFonts w:ascii="Times New Roman;Times;serif" w:hAnsi="Times New Roman;Times;serif"/>
          <w:b w:val="false"/>
          <w:i w:val="false"/>
          <w:caps w:val="false"/>
          <w:smallCaps w:val="false"/>
          <w:color w:val="000000"/>
          <w:spacing w:val="4"/>
          <w:sz w:val="20"/>
        </w:rPr>
        <w:t xml:space="preserve">   The holder of the pre-funded warrant may exercise the pre-funded warrant by delivering an exercise notice, completed and duly signed, and 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holder’s exercise of the pre-funded warrant, we will issue the shares of common stock to which the holder is entitled pursuant to such exercise within the number of trading days comprising the standard settlement period after the exercise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pre-funded warrant will not be entitled to exercise any portion of such pre-funded warrant that, upon giving effect to such exercise, would cause the aggregate number of shares of our common stock beneficially owned by such holder (together with its affiliates and any other persons whose beneficial ownership of common stock would be aggregated with the holder for purposes of Section 13(d) of the Exchange Act) to exceed 4.99%, 9.99% or 19.99%, at the election of the holder, of the total number of then issued and outstanding shares of common stock, as such percentage ownership is determined in accordance with the terms of the pre-funded warrant and subject to such holder’s rights under the pre-funded warrant to increase or decrease such percentage to any other percentage not in excess of 19.99% upon notice from such holder to us, provided that any such increase will not be effective until the 61st day after such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Fundamental Transaction.   </w:t>
      </w:r>
      <w:r>
        <w:rPr>
          <w:rFonts w:ascii="Times New Roman;Times;serif" w:hAnsi="Times New Roman;Times;serif"/>
          <w:b w:val="false"/>
          <w:i w:val="false"/>
          <w:caps w:val="false"/>
          <w:smallCaps w:val="false"/>
          <w:color w:val="000000"/>
          <w:spacing w:val="4"/>
          <w:sz w:val="20"/>
        </w:rPr>
        <w:t xml:space="preserve">In the event of any fundamental transaction, as described in the pre-funded warrants and generally including any merger with or into another entity, sale of all or substantially all of our and our subsidiaries’ assets (taken as a whole), tender offer or exchange offer, or reclassification of our shares of common stock, then upon any subsequent exercise of a pre-funded warrant, the holder will have the right to receive as alternative consideration, for each share of common stock that would have been issuable upon such exercise immediately prior to the occurrence of such fundamental transaction, the same amount and kind of consideration receivable upon or as a result of such transaction by a holder of the number of shares of common stock for which the warrant is exercisable immediately prior to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Transferability.   </w:t>
      </w:r>
      <w:r>
        <w:rPr>
          <w:rFonts w:ascii="Times New Roman;Times;serif" w:hAnsi="Times New Roman;Times;serif"/>
          <w:b w:val="false"/>
          <w:i w:val="false"/>
          <w:caps w:val="false"/>
          <w:smallCaps w:val="false"/>
          <w:color w:val="000000"/>
          <w:spacing w:val="4"/>
          <w:sz w:val="20"/>
        </w:rPr>
        <w:t xml:space="preserve">Subject to applicable laws, a pre-funded warrant may be transferred at the option of the holder upon surrender of the pre-funded warrant to us together with the appropriate instruments of transfer as described in the pre-funded warrants and payment of funds sufficient to pay any transfer taxes (if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Exchange Listing.   </w:t>
      </w:r>
      <w:r>
        <w:rPr>
          <w:rFonts w:ascii="Times New Roman;Times;serif" w:hAnsi="Times New Roman;Times;serif"/>
          <w:b w:val="false"/>
          <w:i w:val="false"/>
          <w:caps w:val="false"/>
          <w:smallCaps w:val="false"/>
          <w:color w:val="000000"/>
          <w:spacing w:val="4"/>
          <w:sz w:val="20"/>
        </w:rPr>
        <w:t xml:space="preserve">There is no trading market available for the pre-funded warrants on any securities exchange or nationally recognized trading system. We do not intend to list the pre-funded warrants on Nasdaq or any securities exchange or nationally recognized trading system.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initially serve as the warrant agent under the pre-funded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Rights as a Stockholder.</w:t>
      </w:r>
      <w:r>
        <w:rPr>
          <w:rFonts w:ascii="Times New Roman;Times;serif" w:hAnsi="Times New Roman;Times;serif"/>
          <w:b w:val="false"/>
          <w:i w:val="false"/>
          <w:caps w:val="false"/>
          <w:smallCaps w:val="false"/>
          <w:color w:val="000000"/>
          <w:spacing w:val="4"/>
          <w:sz w:val="20"/>
        </w:rPr>
        <w:t xml:space="preserve">   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FIT"/>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considerations to U.S. Holders and Non-U.S. Holders (each as defined below) of the ownership and disposition of the common stock and pre-funded warrants issued pursuant to this offering. The discussion does not purport to be a complete analysis of all potential tax considerations. The considerations of other U.S. federal tax laws, such as estate and gift tax laws, and any applicable state, local or non-U.S. tax laws, are not discussed. This discussion is based on the U.S. Internal Revenue Code of 1986, as amended (the “Code”), Treasury Regulations promulgated under the Code,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our common stock or pre-funded warrants. We have not sought and will not seek any rulings from the IRS regarding the matters discussed below. There can be no assurance the IRS or a court will not take a contrary position to that discussed below regarding the tax considerations of the ownership and disposition of our common stock or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that hold our common stock or pre-funded warrants as a “capital asset” within the meaning of Section 1221 of the Code (generally, property held for investment). This discussion does not address all U.S. federal income tax considerations relevant to such holder’s particular circumstances, including without limitation the alternative minimum tax and the effect of the Medicare contribution tax on net investment income. In addition, it does not address considerations relevant to holders who are subject to special rules,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citizens or long-term residents of the United States;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common stock or pre-funded warrants as part of a hedge, straddle or other risk-reduction strategy or as part of a conversion transaction or other integrated investment;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or other financial institutions;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or regulated investment companies;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currencies or securities, or other persons that elect to use a mark-to-market method of accounting for their holdings in our common stock or pre-funded warrants;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“foreign controlled foreign corporations,” “passive foreign investment companies” and corporations that accumulate earnings to avoid U.S. federal income tax;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entities or arrangements classified as partnerships or disregarded entities for U.S. federal income tax purposes (and investors therein), S corporations or other passthrough entities (including hybrid entities);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common stock or pre-funded warrants under the constructive sale provisions of the Code;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or receive our common stock or pre-funded warrants pursuant to the exercise of any employee stock option or otherwise as compensation;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tax-qualified retirement plans;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acquire our common stock or pre-funded warrants as compensation for services;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own, or have owned, actually or constructively, 5% or more (by vote or value) of our common stock and/or pre-funded warrants; and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plans or funds, or an entity that is wholly owned by a pension plan or fund, including “qualified foreign pension funds” as defined in Section 897(l)(2) of the Code and entities all of the interests of which are held by qualified foreign pension funds.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classified as a partnership for U.S. federal income tax purposes holds our common stock or pre-funded warrants, the tax treatment of a partner in the partnership will depend 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status of the partner, the activities of the partnership and certain determinations made at the partner level. Accordingly, each partnership and each partner in such partnership holding our common stock or pre-funded warrants is urged to consult its tax advisor regarding the U.S. federal income tax considerations to it of the ownership and disposition of our common stock or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any person that, for U.S. federal income tax purposes, is or is treated as any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in or organized under the laws of the United States, any state thereof or the District of Columbia;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any beneficial owner of our common stock or pre-funded warrants that is neither a U.S. Holder nor an entity or arrangement classified as a partnership.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TAX ADVICE. EACH INVESTOR IS URGED TO CONSULT ITS TAX ADVISOR WITH RESPECT TO THE APPLICATION OF U.S. FEDERAL INCOME TAX LAWS TO ITS PARTICULAR SITUATION AS WELL AS ANY TAX CONSIDERATIONS OF THE OWNERSHIP AND DISPOSITION OF OUR COMMON STOCK OR PRE-FUNDED WARRANTS ARISING UNDER THE U.S. FEDERAL ESTATE OR GIFT TAX LAWS OR UNDER THE LAWS OF ANY STATE, LOCAL OR NON-U.S. TAXING JURISDICTION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entirely free from doubt, because the exercise price of the pre-funded warrants is a nominal amount, the pre-funded warrants generally are expected to be treated as shares of our common stock for U.S. federal income tax purposes (and a holder is expected to be subject to the same tax considerations as if the holder held shares of our common stock as discussed below). Accordingly, no gain or loss should be recognized upon exercise of a pre-funded warrant, and the holding period of the shares of our common stock received upon exercise of a pre-funded warrant should include the holding period of the pre-funded warrant. Similarly, the tax basis of the pre-funded warrant should carry over to the shares of common stock received upon exercise, increased by the exercise price. Each U.S. Holder and Non-U.S. Holder is urged to consult its tax advisor regarding the U.S. federal income tax considerations to it of the ownership and disposition of the pre-funded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 present intention to pay cash dividends on our common stock. However, if we do make distributions of cash or other property on our common stock (other than certain distributions of our common stock), those distributions generally will constitute dividends for U.S. federal income tax purposes to the extent paid from our current or accumulated earnings and profits, as determined under U.S. federal income tax principles. If the amount of such distributions exceeds our current and accumulated earnings and profits, such excess generally will constitute a non-taxable return of capital and will first be applied against and reduce, but not below zero, a U.S. Holder’s adjusted tax basis in our common stock. Any excess will be treated as capital gain and will be treated as described below under the subsection titled “— U.S. Holders — Sale or Other Taxable Disposition of Common Stock or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paid to a U.S. Holder of our common stock that is a corporation for U.S. federal income tax purposes generally will qualify for the dividends received deduction if the requirements relating to the requisite holding period are satisfied. With certain exceptions, and provided certain holding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are met, dividends we pay to a non-corporate U.S. Holder generally will constitute “qualified dividends” that currently are subject to tax at preferential long-term capital gains 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 of Common Stock or Pre-Funded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sale or other taxable disposition of our common stock or pre-funded warrants, a U.S. Holder generally will recognize taxable gain or loss in an amount equal to the difference between (1) the amount realized upon such sale or other taxable disposition and (2) the U.S. Holder’s tax basis in the common stock or pre-funded warrant. Such gain or loss generally will be treated as long-term capital gain or loss if the common stock or pre-funded warrant is held by the U.S. Holder for more than one year at the time of such sale or other taxable disposition.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may apply to dividends paid to a U.S. Holder and to the proceeds of the sale or other taxable disposition of our common stock or pre-funded warrants, unless the U.S. Holder is an exempt recipient. Backup withholding may apply to such payments if the U.S. Holder fails to provide a taxpayer identification number or a certification of exempt status or has been notified by the IRS that it is subject to backup withholding (and such notification has not been withdrawn).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 present intention to pay cash dividends on our common stock. However, if we do make distributions of cash or other property on our common stock (other than certain distributions of our common stock), those distributions generally will constitute dividends for U.S. federal income tax purposes to the extent paid from our current or accumulated earnings and profits, as determined under U.S. federal income tax principles. If the amount of such distributions exceeds our current and accumulated earnings and profits, such excess generally will constitute a non-taxable return of capital and will first be applied against and reduce, but not below zero, a Non-U.S. Holder’s adjusted tax basis in our common stock. Any excess will be treated as capital gain and will be treated as described below under the subsection titled “— Non-U.S. Holders — Sale or Other Taxable Disposition of Common Stock or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paid to a Non-U.S. Holder of our common stock that is not effectively connected with such Non-U.S. Holder’s conduct of a trade or business in the United States generally will be subject to U.S. federal withholding tax at a rate of 30% of the gross amount of the dividends (or such lower rate specified by an applicable income tax treaty, provided such Non-U.S. Holder furnishes the applicable withholding agent with documentation required to claim benefits under such tax treaty (generally, a valid IRS Form W-8BEN or W-8BEN-E or a successor form)). These certifications must be provided to the applicable withholding agent prior to the payment of dividends and must be updated periodically. Each Non-U.S. Holder is urged to consult its tax advisor regarding U.S. federal withholding tax on distributions on our common stock, including such Non-U.S. Holder’s eligibility for benefits under any applicable income tax treaties and the availability of a refund on any excess U.S. federal tax withheld.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paid to a Non-U.S. Holder are effectively connected with such Non-U.S. Holder’s conduct of a trade or business within the United States (and, if required by an applicable income tax treaty, such Non-U.S. Holder maintains a permanent establishment in the United States to which such dividends are attributable), such Non-U.S. Holder generally will be exempt from the U.S. federal withholding tax described above. To claim the exemption, a Non-U.S. Holder must furnish to the applicable withholding agent a valid IRS Form W-8ECI (or a successor form) certifying that the dividends are effectively connected with such Non-U.S. Holder’s conduct of a trade or business within the United States. In general, any such effectively connected dividends will be subject to U.S. federal income tax on a net income basis at the regular rates applicable to a U.S. person, unless a specific treaty exemption applies. A Non-U.S. Holder that is a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may be subject to a branch profits tax at a rate of 30% (or such lower rate specified by an applicable income tax treaty) on such effectively connected dividends, as adjusted for certain items. Each Non-U.S. Holder is urged to consult its tax advisor regarding the U.S. federal income tax considerations of any distributions with respect to our common stock, including any applicable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 of Common Stock or Pre-Funded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generally will not be subject to U.S. federal income or withholding tax on any gain realized upon the sale or other taxable disposition of our common stock or pre-funded warrants unless: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such Non-U.S. Holder’s conduct of a trade or business within the United States (and, if required by an applicable income tax treaty, the Non-U.S. Holder maintains a permanent establishment or fixed base in the United States to which such gain is attributable); </w:t>
      </w:r>
      <w:r>
        <mc:AlternateContent>
          <mc:Choice Requires="wps">
            <w:drawing>
              <wp:anchor behindDoc="0" distT="8001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 non-resident alien individual present in the United States for 183 days or more during the taxable year of the disposition and certain other requirements are met; or </w:t>
      </w:r>
      <w:r>
        <mc:AlternateContent>
          <mc:Choice Requires="wps">
            <w:drawing>
              <wp:anchor behindDoc="0" distT="8001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or pre-funded warrants constitute a U.S. real property interest (“USRPI”) by reason of our status as a U.S. real property holding corporation (“USRPHC”) for U.S. federal income tax purposes. </w:t>
      </w:r>
      <w:r>
        <mc:AlternateContent>
          <mc:Choice Requires="wps">
            <w:drawing>
              <wp:anchor behindDoc="0" distT="800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generally will be subject to U.S. federal income tax on a net income basis at the regular rates applicable to U.S. persons, unless a specific treaty exemption applies.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generally will be subject to U.S. federal income tax at a rate of 30% (or such lower rate specified by an applicable income tax treaty), which may be offset by certain U.S.-source capital losses of a Non-U.S. Holder, provided such Non-U.S. Holder has timely filed U.S. federal income tax returns with respect to such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third bullet point above, we believe we currently are not, and we do not anticipate becoming, a USRPHC. However, we cannot assure you that we will not become a USRPHC. Even if we are or were to become a USRPHC, however, our common stock will not be treated as a USRPI with respect to a Non-U.S. Holder if our common stock is “regularly traded” on an “established securities market” ​(as such terms are defined by applicable Treasury Regulations) and such Non-U.S. Holder owned, actually and constructively, 5% or less of our common stock throughout the shorter of the 5-year period ending on the date of the sale or other taxable disposition or such Non-U.S. Holder’s holding period. No assurance can be provided that our common stock will be regularly traded on an established securities market for purposes of the rules described above. Non-U.S. Holders of pre-funded warrants should consult their tax advisors regarding the application of these rules with respect to the pre-funded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Non-U.S. Holder is urged to consult its tax advisor regarding the U.S. federal income tax considerations of the sale or other taxable disposition of our common stock or pre-funded warrants, including any applicable income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on our common stock generally will not be subject to backup withholding provided the applicable withholding agent does not have actual knowledge or reason to know the Non-U.S. Holder is a U.S. person and the Non-U.S. Holder certifies its non-U.S. status by furnishing a valid IRS Form W-8BEN, W-8BEN-E, W-8ECI, W-8EXP or other applicable IRS form, or otherwise establishes an exemption. Information returns are required to be filed with the IRS in connection with any distributions on our common stock paid to the Non-U.S. Holder, regardless of whether any tax was actually withheld. Copies of these information returns may also be made available under the provisions of an applicable treaty or agreement to the tax authorities of the country in which the Non-U.S. Holder resides or is established.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(at a current rate of 24%) generally will apply to the proceeds of the sale or other taxable disposition of our common stock or pre-funded warrants within the United States or conducted through certain U.S.-related brokers, unless the applicable withholding agent receives the certification described above and does not have actual knowledge or reason to know that the Non-U.S. Holder is a U.S. person, or the holder otherwise establishes an exemption. Proceeds of a disposition of our common stock or pre-funded warrants conducted through a non-U.S. office of a non-U.S. broker that does not have certain enumerated relationships with the United States generally will not be subject to backup withholding or information reporting.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Withholding taxes may be imposed under Sections 1471 to 1474 of the Code and the rules and regulations promulgated thereunder (commonly referred to as “FATCA”) on certain types of payments made to non-U.S. financial institutions and certain other non-U.S. entities. Specifically, a 30% withholding tax may be imposed on dividends on our common stock paid to a “foreign financial institution” or a “non-financial foreign entity” ​(each as defined in the Code), unless: (i) the foreign financial institution undertakes certain diligence, reporting and withholding obligations; (ii) the non-financial foreign entity either certifies it does not have any “substantial U.S. owners” ​(as defined in the Code)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reporting and withholding requirements in clause (i) above, it must enter into an agreement with the U.S. Department of the Treasury requiring, among other things, that it undertake to identify accounts held by certain “specified U.S.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concerning FATCA may be subject to different rules. If a dividend payment is both subject to withholding under FATCA and subject to the withholding tax discussed above under the section titled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Non-U.S. Holders — Distributions on Common Stock,” the withholding under FATCA may be credited against, and therefore reduce, such other withholding tax.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Prospective investors should consult their tax advisors regarding the potential application of withholding under FATCA to their investment in our common stock or pre-funded warrants.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dated                  , among us and Jefferies LLC, TD Securities (USA) LLC and Guggenheim Securities,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and pre-funded warrants shown opposite its name below: </w:t>
      </w:r>
    </w:p>
    <w:tbl>
      <w:tblPr>
        <w:tblW w:w="6622" w:type="dxa"/>
        <w:jc w:val="left"/>
        <w:tblInd w:w="1393" w:type="dxa"/>
        <w:tblLayout w:type="fixed"/>
        <w:tblCellMar>
          <w:top w:w="0" w:type="dxa"/>
          <w:left w:w="0" w:type="dxa"/>
          <w:bottom w:w="43" w:type="dxa"/>
          <w:right w:w="0" w:type="dxa"/>
        </w:tblCellMar>
      </w:tblPr>
      <w:tblGrid>
        <w:gridCol w:w="3055"/>
        <w:gridCol w:w="109"/>
        <w:gridCol w:w="109"/>
        <w:gridCol w:w="113"/>
        <w:gridCol w:w="113"/>
        <w:gridCol w:w="860"/>
        <w:gridCol w:w="113"/>
        <w:gridCol w:w="109"/>
        <w:gridCol w:w="109"/>
        <w:gridCol w:w="317"/>
        <w:gridCol w:w="317"/>
        <w:gridCol w:w="826"/>
        <w:gridCol w:w="318"/>
        <w:gridCol w:w="154"/>
      </w:tblGrid>
      <w:tr>
        <w:trPr/>
        <w:tc>
          <w:tcPr>
            <w:tcW w:w="3055"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gridSpan w:val="4"/>
            <w:tcBorders>
              <w:bottom w:val="single" w:sz="2" w:space="0" w:color="000000"/>
            </w:tcBorders>
            <w:vAlign w:val="center"/>
          </w:tcPr>
          <w:p>
            <w:pPr>
              <w:pStyle w:val="TableContents"/>
              <w:bidi w:val="0"/>
              <w:spacing w:before="0" w:after="0"/>
              <w:jc w:val="center"/>
              <w:rPr/>
            </w:pPr>
            <w:r>
              <w:rPr>
                <w:spacing w:val="-3"/>
              </w:rPr>
              <w:t>NUMBER</w:t>
            </w:r>
            <w:r>
              <w:rPr/>
              <w:t xml:space="preserve"> </w:t>
              <w:br/>
            </w:r>
            <w:r>
              <w:rPr>
                <w:spacing w:val="-3"/>
              </w:rPr>
              <w:t>OF</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8"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PRE-FUNDED</w:t>
            </w:r>
            <w:r>
              <w:rPr/>
              <w:t xml:space="preserve"> </w:t>
              <w:br/>
            </w:r>
            <w:r>
              <w:rPr>
                <w:spacing w:val="-3"/>
              </w:rPr>
              <w:t xml:space="preserve">WARRANTS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Jefferies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3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3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Guggenheim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3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LifeSci Capital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3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3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7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 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offer the shares of common stock and pre-funded warrants at the public offering price set forth on the cover page of this prospectus supplement and to certain dealers, which may include the underwriters, at that price less a concession not in excess of $       per share of common stock and pre-funded warrant. After the offering, the public offering price and concession to dealers may be reduced by the representatives. No such reduction will change the amount of proceeds to be received by us as set forth on the cover page of this prospectus supplement.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847"/>
        <w:gridCol w:w="109"/>
        <w:gridCol w:w="109"/>
        <w:gridCol w:w="109"/>
        <w:gridCol w:w="226"/>
        <w:gridCol w:w="446"/>
        <w:gridCol w:w="109"/>
        <w:gridCol w:w="109"/>
        <w:gridCol w:w="109"/>
        <w:gridCol w:w="115"/>
        <w:gridCol w:w="239"/>
        <w:gridCol w:w="1003"/>
        <w:gridCol w:w="115"/>
        <w:gridCol w:w="109"/>
        <w:gridCol w:w="109"/>
        <w:gridCol w:w="115"/>
        <w:gridCol w:w="239"/>
        <w:gridCol w:w="854"/>
        <w:gridCol w:w="115"/>
        <w:gridCol w:w="109"/>
        <w:gridCol w:w="109"/>
        <w:gridCol w:w="109"/>
        <w:gridCol w:w="226"/>
        <w:gridCol w:w="806"/>
        <w:gridCol w:w="109"/>
        <w:gridCol w:w="158"/>
      </w:tblGrid>
      <w:tr>
        <w:trPr/>
        <w:tc>
          <w:tcPr>
            <w:tcW w:w="2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w:t>
            </w:r>
            <w:r>
              <w:rPr/>
              <w:t xml:space="preserve"> </w:t>
              <w:br/>
            </w:r>
            <w:r>
              <w:rPr>
                <w:spacing w:val="-3"/>
              </w:rPr>
              <w:t xml:space="preserve">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Pre-Funded</w:t>
            </w:r>
            <w:r>
              <w:rPr/>
              <w:t xml:space="preserve"> </w:t>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Without </w:t>
            </w:r>
            <w:r>
              <w:rPr/>
              <w:br/>
            </w:r>
            <w:r>
              <w:rPr>
                <w:spacing w:val="-3"/>
              </w:rPr>
              <w:t>Option to</w:t>
            </w:r>
            <w:r>
              <w:rPr/>
              <w:t xml:space="preserve"> </w:t>
              <w:br/>
            </w:r>
            <w:r>
              <w:rPr>
                <w:spacing w:val="-3"/>
              </w:rPr>
              <w:t>Purchase</w:t>
            </w:r>
            <w:r>
              <w:rPr/>
              <w:t xml:space="preserve"> </w:t>
              <w:br/>
            </w:r>
            <w:r>
              <w:rPr>
                <w:spacing w:val="-3"/>
              </w:rPr>
              <w:t xml:space="preserve">Additional </w:t>
            </w:r>
            <w:r>
              <w:rPr/>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With </w:t>
            </w:r>
            <w:r>
              <w:rPr/>
              <w:br/>
            </w:r>
            <w:r>
              <w:rPr>
                <w:spacing w:val="-3"/>
              </w:rPr>
              <w:t>Option to</w:t>
            </w:r>
            <w:r>
              <w:rPr/>
              <w:t xml:space="preserve"> </w:t>
              <w:br/>
            </w:r>
            <w:r>
              <w:rPr>
                <w:spacing w:val="-3"/>
              </w:rPr>
              <w:t>Purchase</w:t>
            </w:r>
            <w:r>
              <w:rPr/>
              <w:t xml:space="preserve"> </w:t>
              <w:br/>
            </w:r>
            <w:r>
              <w:rPr>
                <w:spacing w:val="-3"/>
              </w:rPr>
              <w:t xml:space="preserve">Additional </w:t>
            </w:r>
            <w:r>
              <w:rPr/>
              <w:br/>
            </w:r>
            <w:r>
              <w:rPr>
                <w:spacing w:val="-3"/>
              </w:rPr>
              <w:t xml:space="preserve">Shares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847"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854"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847"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paid by 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003" w:type="dxa"/>
            <w:tcBorders/>
            <w:tcMar>
              <w:bottom w:w="0" w:type="dxa"/>
            </w:tcMar>
            <w:vAlign w:val="center"/>
          </w:tcPr>
          <w:p>
            <w:pPr>
              <w:pStyle w:val="TableContents"/>
              <w:bidi w:val="0"/>
              <w:spacing w:before="0" w:after="283"/>
              <w:jc w:val="left"/>
              <w:rPr>
                <w:sz w:val="4"/>
                <w:szCs w:val="4"/>
              </w:rPr>
            </w:pPr>
            <w:r>
              <w:rPr>
                <w:sz w:val="4"/>
                <w:szCs w:val="4"/>
              </w:rPr>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854" w:type="dxa"/>
            <w:tcBorders/>
            <w:tcMar>
              <w:bottom w:w="0" w:type="dxa"/>
            </w:tcMar>
            <w:vAlign w:val="center"/>
          </w:tcPr>
          <w:p>
            <w:pPr>
              <w:pStyle w:val="TableContents"/>
              <w:bidi w:val="0"/>
              <w:spacing w:before="0" w:after="283"/>
              <w:jc w:val="left"/>
              <w:rPr>
                <w:sz w:val="4"/>
                <w:szCs w:val="4"/>
              </w:rPr>
            </w:pPr>
            <w:r>
              <w:rPr>
                <w:sz w:val="4"/>
                <w:szCs w:val="4"/>
              </w:rPr>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84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00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85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expenses payable by us in connection with this offering, other than the underwriting discounts and commissions referred to above, will be approximately $         . Certain expenses payable by us in connection with this offering may be reimbursed by the underwriters. We have agreed to reimburse the underwriters for certain of their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trading symbol “YARW.” There is no established public trading market for the pre-funded warrants, and we do not expect a trading market to develop. We do not intend to list the pre-funded warrants on any securities exchange or nationally recognized trading system, including The Nasdaq Capital Market. Without a trading market, the liquidity of the pre-funded warrants will be extremely limited.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Stamp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shares of common stock or pre-funded warrants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to the underwriters an option, exercisable for 30 days from the date of this prospectus supplement, to purchase, from time to time, in whole 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our officers and directors have agreed, subject to specified exceptions, not to directly or indirectly: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offer, contract or grant any option to sell (including any short sale), pledge, transfer, establish an open “put equivalent position” within the meaning of Rule 16a-l(h) under the Exchange Act, or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dispose of any shares of common stock, options or warrants to acquire shares of common stock, or securities exchangeable or exercisable for or convertible into shares of common stock currently or hereafter owned either of record or beneficially, or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announce an intention to do any of the foregoing for a period of 60 days after the date of this prospectus supplement without the prior written consent of Jefferies LLC and TD Securities (USA) LLC.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restriction terminates after the close of trading of the common stock on and including the 60th day after the date of this prospectus supplement. Notwithstanding the foregoing, the securityholder may transfer shares of common stock, or securities exchangeable or exercisable for or convertible into shares of common stock: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bona fide gift, or by will or intestate succession to a family member or to a trust whose beneficiaries consist exclusively of one or more of the securityholder and/or a family member; </w:t>
      </w:r>
      <w:r>
        <mc:AlternateContent>
          <mc:Choice Requires="wps">
            <w:drawing>
              <wp:anchor behindDoc="0" distT="10287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court order in respect of, or by operation of law as a result of, a divorce;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securityholder is not an individual, to any affiliate of the securityholder, or to the limited partners, general partners, limited liability company members, trust beneficiaries or stockholders of the securityholder, in each case if such transfer is not for value; </w:t>
      </w:r>
      <w:r>
        <mc:AlternateContent>
          <mc:Choice Requires="wps">
            <w:drawing>
              <wp:anchor behindDoc="0" distT="10287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relating to shares of common stock acquired in this offering or in open market transactions after the completion of this offering; </w:t>
      </w:r>
      <w:r>
        <mc:AlternateContent>
          <mc:Choice Requires="wps">
            <w:drawing>
              <wp:anchor behindDoc="0" distT="10287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 upon the exercise of options or warrants or the vesting of restricted stock units, in each case to cover tax withholding obligations in connection with such exercise or vesting or for the primary purpose of paying the exercise price of options or warrants to acquire shares of common stock, pursuant to a stock option, stock bonus or other stock plan or arrangement, or warrants, existing as of the date of the lock-up agreement or described in this prospectus supplement, provided that any shares of common stock acquired upon such exercise or vesting will remain subject to the lock-up agreement and that, if the securityholder is required to file a report under the Exchange Act relating thereto, such report will include a statement to the effect that the filing relates to the “net” or “cashless” exercise of options to purchase shares of common stock, including, if applicable, the payment of taxes due as a result of the exercise of options or vesting of restricted stock units; and </w:t>
      </w:r>
      <w:r>
        <mc:AlternateContent>
          <mc:Choice Requires="wps">
            <w:drawing>
              <wp:anchor behindDoc="0" distT="10287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bona fide third-party offer for all or substantially all of our outstanding voting stock, whether pursuant to a merger, tender offer or otherwise, to a third party or group of third parties, including by entering into any voting, support or tender agreement with respect thereto, provided that if such merger, tender offer or other transaction is not consummated, the securityholder’s shares of common stock and other securities subject to the lock-up agreement will remain subject to the restrictions set forth in the lock-up agreement;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in the case of (a) clauses (i) through (iii), any such transferee executes and delivers to the representatives a lock-up agreement; (b) clause (ii), that prior to the expiration of the lock-up period, no public disclosure or filing under the Exchange Act by any party to the transfer shall be required, or made voluntarily, reporting a reduction in beneficial ownership of shares of common stock, in connection with such transfer and (c) clauses (i), (iii) and (iv), that prior to the expiration of the lock-up period, (x) no public disclosure or filing under the Exchange Act by any party to the transfer shall be made voluntarily reporting a reduction in beneficial ownership of shares of common stock in connection with such transfer and (y) any such public disclosure or filing required to be made shall include a statement describing the circumstances of such transfer and, in the case of clauses (i) and (iii), that the transferee has agreed to be bound by the terms of the lock-up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the foregoing restrictions shall not apply to the establishment or amendment of a trading plan pursuant to Rule 10b5-1 under the Exchange Act (a “10b5-1 Plan”);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no sales or other dispositions of a securityholder’s shares of common stock or other securities exchangeable or exercisable for or convertible into shares of common stock may occur under such 10b5-1 Plan during the lock-up period, no public announcement or filing under the Exchange Act regarding the establishment of such 10b5-1 Plan during the lock-up period shall be voluntarily made by or on behalf of the securityholder or us, and any public announcement or filing under the Exchange Act required of the securityholder or us regarding the establishment of such 10b5-1 Plan during the lock-up period shall include a statement to the effect that no transfer of shares of common stock may be made under such 10b5-1 Plan during the lock-up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notwithstanding the foregoing, we are permitted to sell shares of our common stock under the Amended and Restated Sales Agreement with TD Securities (USA) LLC during the restricted period following the exercise in full or expiration of the underwriters’ option to purchase additional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 and TD Securities (USA) LLC may, in their sole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this prospectus supplement and the accompanying prospectus in electronic format, the information on the underwriters’ web sites and any information contained in any other web site maintained by any of the underwriters is not part of this prospectus supplement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prospectus, has not been approved and/or endorsed by us or the underwriters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Activities and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on August 13, 2026, we entered into the Amended and Restated Sales Agreement with TD Securities (USA) LLC pursuant to which we may offer and sell shares of our common stock from time to time through TD Securities (USA) LLC acting as our sales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Disclaimers About Non-U.S. Jurisdictions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 Resale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 Representations of Canadian Purchasers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purchasing securities in Canada and accepting delivery of a purchase confirmation, a purchaser is representing to us and the dealer from whom the purchase confirmation is received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Securities Act (Ontario), as applicable,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purchaser is a “permitted client” as defined in National Instrument 31-103 — Registration Requirements, Exemptions and Ongoing Registrant Obligations,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required by law, the purchaser is purchasing as principal and not as agent, and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purchaser has reviewed the text above under Resale Restrictions. </w:t>
      </w:r>
      <w:r>
        <mc:AlternateContent>
          <mc:Choice Requires="wps">
            <w:drawing>
              <wp:anchor behindDoc="0" distT="0" distB="0" distL="25400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 Conflicts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Canadian purchasers are hereby notified that certain of the underwriters are relying on the exemption set out in section 3A.3 or 3A.4, if applicable, of National Instrument 33-105 — Underwriting Conflicts from having to provide certain conflict of interest disclosure in this prospectus supplement.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 Statutory Rights of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the prospectus (including any amendment thereto) such as this prospectus supplement contains a misrepresentation,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 Enforcement of Legal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 Taxation and Eligibility for Investment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 Language of Documents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Times New Roman;Times;serif" w:hAnsi="Times New Roman;Times;serif"/>
          <w:b w:val="false"/>
          <w:i/>
          <w:caps w:val="false"/>
          <w:smallCaps w:val="false"/>
          <w:color w:val="000000"/>
          <w:spacing w:val="4"/>
          <w:sz w:val="20"/>
        </w:rPr>
        <w:t xml:space="preserve">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supplement in Australia: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confirm and warrant that you are either: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“sophisticated investor” under section 708(8)(a) or (b) of the Corporations Act;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associated with the us under Section 708(12) of the Corporations Act; or </w:t>
      </w:r>
      <w:r>
        <mc:AlternateContent>
          <mc:Choice Requires="wps">
            <w:drawing>
              <wp:anchor behindDoc="0" distT="800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“professional investor” within the meaning of section 708(11)(a) or (b) of the Corporations Act. </w:t>
      </w:r>
      <w:r>
        <mc:AlternateContent>
          <mc:Choice Requires="wps">
            <w:drawing>
              <wp:anchor behindDoc="0" distT="800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you are unable to confirm or warrant that you are an exempt sophisticated investor, associated person or professional investor under the Corporations Act any offer made to you under this prospectus is void and incapable of acceptance.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have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under Article 2 of the Prospectus Regulation; </w:t>
      </w:r>
      <w:r>
        <mc:AlternateContent>
          <mc:Choice Requires="wps">
            <w:drawing>
              <wp:anchor behindDoc="0" distT="9906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Article 2 of the Prospectus Regulation), subject to obtaining the prior consent of the representatives for any such offer; or </w:t>
      </w:r>
      <w:r>
        <mc:AlternateContent>
          <mc:Choice Requires="wps">
            <w:drawing>
              <wp:anchor behindDoc="0" distT="9906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9906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no such offer of the securities shall require us or any of the representatives to publish a prospectus pursuant to Article 3 of the Prospectus Regulation or supplement a prospectus pursuant to Article 23 of the Prospectus Regulation or publish an Annex IX document pursuant to Article 1(4)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the securities which are or are intended to be disposed of only to persons outside Hong Kong or only to “professional investors” as defined in the SFO and any rules made under that Ordinance.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Israel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securities are subscribed or purchased under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9906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defined in Section 275(2) of the SFA, or to any person arising from an offer referred to in Section 275(1A) or Section 276(4)(i)(B) of the SFA; </w:t>
      </w:r>
      <w:r>
        <mc:AlternateContent>
          <mc:Choice Requires="wps">
            <w:drawing>
              <wp:anchor behindDoc="0" distT="9906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906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99060" distB="0" distL="254000" distR="0" simplePos="0" locked="0" layoutInCell="1" allowOverlap="1" relativeHeight="84">
                <wp:simplePos x="0" y="0"/>
                <wp:positionH relativeFrom="column">
                  <wp:align>left</wp:align>
                </wp:positionH>
                <wp:positionV relativeFrom="line">
                  <wp:align>top</wp:align>
                </wp:positionV>
                <wp:extent cx="254000" cy="52578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99060" distB="0" distL="254000" distR="0" simplePos="0" locked="0" layoutInCell="1" allowOverlap="1" relativeHeight="85">
                <wp:simplePos x="0" y="0"/>
                <wp:positionH relativeFrom="column">
                  <wp:align>left</wp:align>
                </wp:positionH>
                <wp:positionV relativeFrom="line">
                  <wp:align>top</wp:align>
                </wp:positionV>
                <wp:extent cx="254000" cy="52578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32 of the Securities and Futures (Offers of Investments) (Shares and Debentures) Regulations 2005 of Singapore. </w:t>
      </w:r>
      <w:r>
        <mc:AlternateContent>
          <mc:Choice Requires="wps">
            <w:drawing>
              <wp:anchor behindDoc="0" distT="0" distB="0" distL="254000" distR="0" simplePos="0" locked="0" layoutInCell="1" allowOverlap="1" relativeHeight="86">
                <wp:simplePos x="0" y="0"/>
                <wp:positionH relativeFrom="column">
                  <wp:align>left</wp:align>
                </wp:positionH>
                <wp:positionV relativeFrom="line">
                  <wp:posOffset>635</wp:posOffset>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not be publicly offered in Switzerland and will not be listed on the SIX Swiss Exchange (the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any other offering or marketing material relating to the offering, the Company or the securities have been or will be filed with or approved by any Swiss regulatory authority. In particular, this prospectus supplement will not be filed with, and the offer of the securities will not be supervised by, the Swiss Financial Market Supervisory Authority (the “FINMA”), and the offer of the securities has not been and will not be authorized under the Swiss Federal Act on Collective Investment Schemes (the “CISA”). The investor protection afforded to acquirers of interests in collective investment schemes under the CISA does not extend to acquirers of the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securities have been offered or will be offered pursuant to the offering to the public in the United Kingdom except that the securities may be offered to the public in the United Kingdom at any time: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offer is conditional on the admission of the securities to trading on the London Stock Exchange plc’s main market (in reliance on the exception in paragraph 6(a) of Schedule 1 of the POATR); </w:t>
      </w:r>
      <w:r>
        <mc:AlternateContent>
          <mc:Choice Requires="wps">
            <w:drawing>
              <wp:anchor behindDoc="0" distT="1016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under paragraph 15 of Schedule 1 of the POATR; </w:t>
      </w:r>
      <w:r>
        <mc:AlternateContent>
          <mc:Choice Requires="wps">
            <w:drawing>
              <wp:anchor behindDoc="0" distT="1016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under paragraph 15 of Schedule 1 of the POATR), subject to obtaining the prior consent of the representatives for any such offer; or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1 of Schedule 1 of the POATR. </w:t>
      </w:r>
      <w:r>
        <mc:AlternateContent>
          <mc:Choice Requires="wps">
            <w:drawing>
              <wp:anchor behindDoc="0" distT="1016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by this prospectus supplement will be passed upon for us by Gibson, Dunn &amp; Crutcher LLP, San Francisco, California. Latham &amp; Watkins LLP, San Diego, California, is acting as counsel for the underwriters in connection with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VYNE Therapeutics Inc. (changed to Yarrow Bioscience, Inc. at time of merger) as of December 31, 2025 and 2024, and for each of the years in the two-year period ended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Yarrow Bioscience, Inc. (changed to Yarrow Bioscience Operating Company Corp. at time of merger) as of December 31, 2025 and for the period from October 3, 2025 (inception) to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with respect to the securities offered hereby. This prospectus supplement,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securities, we refer you to the registration statement and its exhibits. Statements contained in this prospectus supplement concerning the contents of any contract or any other document are not necessarily complete. If a contract or document has been filed as an exhibit to the registration statement, please see the copy of the contract or document that has been filed. Each statement in this prospectus supplement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that contains reports, proxy and information statements and other information regarding companies that file electronically with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information and periodic and current reporting requirements of the Exchange Act, and in accordance therewith, file periodic and current reports, proxy statements and other information with the SEC. The registration statement, such periodic and current reports and other information can be obtained electronically by means of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IB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supplement and the registration statement of which this prospectus is a part the information or documents listed below that we have filed with the SEC: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8">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9">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July 10,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14">
        <w:r>
          <w:rPr>
            <w:rStyle w:val="InternetLink"/>
          </w:rPr>
          <w:t>July 20,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July 21,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16">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w:t>
      </w:r>
      <w:hyperlink r:id="rId17">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and </w:t>
      </w:r>
      <w:hyperlink r:id="rId19">
        <w:r>
          <w:rPr>
            <w:rStyle w:val="InternetLink"/>
          </w:rPr>
          <w:t>September</w:t>
        </w:r>
      </w:hyperlink>
      <w:hyperlink r:id="rId20">
        <w:r>
          <w:rPr>
            <w:rStyle w:val="InternetLink"/>
          </w:rPr>
          <w:t>10</w:t>
        </w:r>
      </w:hyperlink>
      <w:hyperlink r:id="rId21">
        <w:r>
          <w:rPr>
            <w:rStyle w:val="InternetLink"/>
          </w:rPr>
          <w:t>,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22">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w:t>
      </w:r>
      <w:hyperlink r:id="rId23">
        <w:r>
          <w:rPr>
            <w:rStyle w:val="InternetLink"/>
          </w:rPr>
          <w:t>March 14, 2023</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 of updating such description.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(other than current reports furnished under Item 2.02 or Item 7.01 of Form 8-K and exhibits filed on such form that are related to such items) that are filed by us with the SEC pursuant to Sections 13(a), 13(c), 14 or 15(d) of the Exchange Act on or after the date of this prospectus supplement until the earlier of the date on which all of the securities registered have been sold hereunder or the registration statement of which this prospectus supplement is a part has been withdrawn (excluding any information furnished rather than filed) shall be deemed to be incorporated by reference into this prospectus supplement and to be a part of this prospectus supplement from the date of filing those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on written or oral request, a copy of any or all of the documents incorporated by reference in this prospectus supplement, including exhibits to these documents. You should direct any requests for documents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Yarrow Bioscience,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470 James Street, Suite 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Haven, CT 06513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(203) 433-7577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also may access these filings on our website at </w:t>
      </w:r>
      <w:r>
        <w:rPr>
          <w:rFonts w:ascii="Times New Roman;Times;serif" w:hAnsi="Times New Roman;Times;serif"/>
          <w:b w:val="false"/>
          <w:i/>
          <w:caps w:val="false"/>
          <w:smallCaps w:val="false"/>
          <w:color w:val="000000"/>
          <w:spacing w:val="4"/>
          <w:sz w:val="20"/>
        </w:rPr>
        <w:t>www.yarrowbioscience.com</w:t>
      </w:r>
      <w:r>
        <w:rPr>
          <w:rFonts w:ascii="Times New Roman;Times;serif" w:hAnsi="Times New Roman;Times;serif"/>
          <w:b w:val="false"/>
          <w:i w:val="false"/>
          <w:caps w:val="false"/>
          <w:smallCaps w:val="false"/>
          <w:color w:val="000000"/>
          <w:spacing w:val="4"/>
          <w:sz w:val="20"/>
        </w:rPr>
        <w:t xml:space="preserve">. We do not incorporate the information on our website into this prospectus supplement and you should not consider any information on, or that can be accessed through, our website as part of this prospectus supplement (other than those filings with the SEC that we specifically incorporate by reference into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in a document incorporated or deemed to be incorporated by reference in this prospectus supplement will be deemed modified, superseded or replaced for purposes of this prospectus to the extent that a statement contained in this prospectus supplement modifies, supersedes or replaces such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952750" cy="1009650"/>
            <wp:effectExtent l="0" t="0" r="0" b="0"/>
            <wp:docPr id="9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 descr=""/>
                    <pic:cNvPicPr>
                      <a:picLocks noChangeAspect="1" noChangeArrowheads="1"/>
                    </pic:cNvPicPr>
                  </pic:nvPicPr>
                  <pic:blipFill>
                    <a:blip r:embed="rId24"/>
                    <a:stretch>
                      <a:fillRect/>
                    </a:stretch>
                  </pic:blipFill>
                  <pic:spPr bwMode="auto">
                    <a:xfrm>
                      <a:off x="0" y="0"/>
                      <a:ext cx="2952750" cy="10096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Yarrow Bioscience,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from time to time, in one or more series or issuances and on terms that we will determine at the time of the offering, up to $250.0 million of any combination of the securities described in this prospectus. We may also offer securities as may be issuable upon conversion, redemption, repurchase, exchange or exercise of any securities registered hereunder, including any applicable antidilution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any offering in one or more supplements to this prospectus. We may also authorize one or more free writing prospectuses to be provided to you in connection with these offerings. Any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or deemed to be incorporated by reference in this prospectus before you purchase any of the securities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granted to them to purchase additional shares will be described in the applicable prospectus supplement. For a more complete description of the plan of distribution of these securities, see the section entitled “Plan of Distribution” beginning on page 14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under the federal securities laws and, as such, are subject to reduced public company reporting requirements. See “Summary — Implications of Being a Smaller Reporting Company.”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any securities unless accompanied by a prospectus supplement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(“Nasdaq”), under the symbol “YARW.” On August 12, 2026, the closing price of our common stock was $42.77 per share. We will provide information in any applicable prospectus supplement regarding any listing of securities other than shares of our common stock on any securities exchange. Our principal executive offices are located at 470 James Street, Suite 007, New Haven, Connecticut 06513 and our telephone number is (203) 433-7577.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our securities involves significant risks. See “Risk Factors” beginning on page 4 of this prospectus and in the applicable prospectus supplement and in the documents incorporated by reference in this prospectus and any applicable prospectus supplement before investing in any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19,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UF2">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UF2">
              <w:r>
                <w:rPr>
                  <w:rStyle w:val="InternetLink"/>
                  <w:spacing w:val="4"/>
                </w:rPr>
                <w:t>1</w:t>
              </w:r>
            </w:hyperlink>
            <w:hyperlink w:anchor="tSUF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5</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WMO">
              <w:r>
                <w:rPr>
                  <w:rStyle w:val="InternetLink"/>
                  <w:spacing w:val="4"/>
                </w:rPr>
                <w:t xml:space="preserve">SECURITIES WE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WMO">
              <w:r>
                <w:rPr>
                  <w:rStyle w:val="InternetLink"/>
                  <w:spacing w:val="4"/>
                </w:rPr>
                <w:t>8</w:t>
              </w:r>
            </w:hyperlink>
            <w:hyperlink w:anchor="tSW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14</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LEMA">
              <w:r>
                <w:rPr>
                  <w:rStyle w:val="InternetLink"/>
                  <w:spacing w:val="4"/>
                </w:rPr>
                <w:t>17</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17</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WYCF">
              <w:r>
                <w:rPr>
                  <w:rStyle w:val="InternetLink"/>
                  <w:spacing w:val="4"/>
                </w:rPr>
                <w:t>18</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which we refer to as the “SEC” or the “Commission,” utilizing a “shelf” registration process. Under this shelf registration process, we may, from time to time, sell any combination of the securities described in this prospectus in one or more offerings, up to a total amount of $250.0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pursuant to this prospectus, we will provide one or more prospectus supplements that will contain specific information about the terms of the offering.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information contained in this prospectus or in the documents that we have incorporated by reference into this prospectus. You should carefully read both this prospectus, any applicable prospectus supplement and any free writing prospectuses we have authorized for use in connection with a specific offering, together with the additional information described under the heading “Where You Can Find More Information” beginning on page 18 of this 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prospectus, any applicable prospectus supplement or in any related free writing prospectus filed by us with the SEC. We have not authorized anyone to provide you with different information. We take no responsibility for, and can provide no assurance as to the reliability of, any information that others may provide. This prospectus, any applicable prospectus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such securities in any circumstances in which such offer or solicitation is unlawful. We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in this prospectus, any applicable prospectus supplement, any free writing prospectus and any information in documents that we have incorporated by reference is accurate only as of their respective dates. Our business, financial condition, results of operations and prospects may have changed materially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herein by reference contain summaries of certain provisions contained in some of the documents described herein, but reference is made to the actual documents for more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stated, all references in this prospectus to “we,” “us,” “our,” “the company,” “YARW,” “Yarrow” and similar designations, except where the context requires otherwise, refer collectively to Yarrow Bioscience, Inc., a Delaware corporation, together with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SUF2"/>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and any applicable prospectus supplement, including the risks of investing in our securities discussed under the heading “Risk Factors” contained in the applicable prospectus supplement,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Yarrow Bioscience,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or GD, and potentially thyroid eye disease (“TED”). Both GD and TED are serious and poorly treated autoimmune diseases in which autoantibodies against TSHR attack and overstimulate the receptor, leading to a wide spectrum of thyroidal and extra-thyroidal clinical sequelae.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October 2011 as a Delaware corporation under the name Tigercat Pharma, Inc. In September 2020, we changed our name from “Menlo Therapeutics Inc.” to “VYNE Therapeutics Inc.,” following our merger with Foamix Pharmaceuticals Ltd. in March 2020. In July 2026, we changed our name from “VYNE Therapeutics Inc.” to “Yarrow Bioscience, Inc.,” following our merger with Yarrow Bioscience Operating Company Corp. (formerly known as Yarrow Bioscience,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24, 2026, we effected a 1-for-50 reverse stock split of our common stock (the “Reverse Stock Split”). All references to common stock share and per share amounts in this prospectus are presented on a post-Reverse Stock Split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470 James Street, Suite 007, New Haven, Connecticut 06513 and our telephone number is (203) 433-7577. Our website address is </w:t>
      </w:r>
      <w:r>
        <w:rPr>
          <w:rFonts w:ascii="Times New Roman;Times;serif" w:hAnsi="Times New Roman;Times;serif"/>
          <w:b w:val="false"/>
          <w:i/>
          <w:caps w:val="false"/>
          <w:smallCaps w:val="false"/>
          <w:color w:val="000000"/>
          <w:spacing w:val="4"/>
          <w:sz w:val="20"/>
          <w:bdr w:val="single" w:sz="8" w:space="1" w:color="000000"/>
        </w:rPr>
        <w:t>www.yarrowbioscience.com</w:t>
      </w:r>
      <w:r>
        <w:rPr>
          <w:rFonts w:ascii="Times New Roman;Times;serif" w:hAnsi="Times New Roman;Times;serif"/>
          <w:b w:val="false"/>
          <w:i w:val="false"/>
          <w:caps w:val="false"/>
          <w:smallCaps w:val="false"/>
          <w:color w:val="000000"/>
          <w:spacing w:val="4"/>
          <w:sz w:val="20"/>
          <w:bdr w:val="single" w:sz="8" w:space="1" w:color="000000"/>
        </w:rPr>
        <w:t xml:space="preserve">. The information contained on, or accessible through, our website is not incorporated by reference into this prospectus. We have included our website in this prospectus solely as an inactive textual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Rule 12b-2 of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 exception from compliance with the auditor attestation requirements of Section 404 of the Sarbanes-Oxley Act of 2002, as amended. If investors consider our common shares less attractive as a result of our election to use the scaled-back disclosure permitted for smaller reporting companies, there may be a less active trading market for our common shares and our share price may be more volatile.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Securities We May Offer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offer shares of our common stock and preferred stock, and warrants to purchase any of such securities, up to a total aggregate offering price of $250.0 million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designation or classification;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offering price;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conversion or exchange prices or rates, if any, and, if applicable, any provisions for changes to or adjustments in the conversion or exchange prices or rates and in the securities or other property receivable upon conversion or exchange;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or other rights, if any; and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U.S. federal income tax considerations.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names of those underwriters or agents;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applicable fees, discounts and commissions to be paid to them;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details regarding options to purchase additional shares, if any; and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estimated net proceeds to us.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Stock</w:t>
      </w:r>
      <w:r>
        <w:rPr>
          <w:rFonts w:ascii="Times New Roman;Times;serif" w:hAnsi="Times New Roman;Times;serif"/>
          <w:b w:val="false"/>
          <w:i w:val="false"/>
          <w:caps w:val="false"/>
          <w:smallCaps w:val="false"/>
          <w:color w:val="000000"/>
          <w:spacing w:val="4"/>
          <w:sz w:val="20"/>
          <w:bdr w:val="single" w:sz="8" w:space="1" w:color="000000"/>
        </w:rPr>
        <w:t xml:space="preserve">.   The holders of our common stock are entitled to one vote for each share held of record on all matters submitted to a vote of stockholders and do not have any cumulative voting rights. Any election at a meeting of stockholders is determined by a plurality of the votes cast by the stockholders entitled to vote at the election, and all other matters are generally determined by a majority of the votes cast on the matter. Holders of our common stock are entitled to receive ratably such dividends, if any, as may be declared by our board of directors out of funds legally available. In the event we liquidate, dissolve or wind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after payment of all of our debts and liabilities, and subject to the preferential rights, if any, of any outstanding preferred stock, the holders of our common stock are entitled to share ratably in all assets. Our common stock has no preemptive or conversion rights or other subscription rights, and there are no redemption or sinking fund provisions applicable to our common stock. We have received full payment for all outstanding shares of our common stock and cannot require our stockholders to make further payments on the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Preferred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preferred stock from time to time, in one or more series. Under our certificate of incorporation, our board of directors has the authority, without further action by the stockholders (unless such stockholder action is required by applicable law or the rules of any stock exchange or market on which our securities are then traded), to designate up to 20,000,000 shares of preferred stock in one or more series and to determine the designations, voting powers, preferences and rights of each series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any or all of which may be greater than the rights of the common stock, and to increase or decrease the number of shares of any such series, but not below the number of shares of such series then outstanding. Any convertible preferred stock we may issue will be convertible into our common stock or exchangeable for our other securities. Conversion may be mandatory or at the holder’s option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Warrants</w:t>
      </w:r>
      <w:r>
        <w:rPr>
          <w:rFonts w:ascii="Times New Roman;Times;serif" w:hAnsi="Times New Roman;Times;serif"/>
          <w:b w:val="false"/>
          <w:i/>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We may issue warrants for the purchase of common stock and/or preferred stock. We may issue warrants independently or together with shares of common stock and/or preferred stock,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will be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and any related free writing prospectus,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Past performance may not be a reliable indicator of future performance, and historical trends should not be used to anticipate results or trends in future periods. The occurrence of any of these known or unknown risks could adversely affect our business, operating results and financial condition, as well as adversely affect the value of an investment in our securities, and the occurrence of any of these known or unknown risks might cause you to lose all or part of your investment in the offered securities. Please also read carefully the section below titled “Special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NR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information incorporated by reference in this prospectus, contains “forward-looking statements” within the meaning of Section 27A of the Securities Act of 1933, as amended (the “Securities Act”), and Section 21E of the Exchange Act. Forward-looking statements include statements that may relate to our plans, objectives, goals, strategies, future events, future revenues or performance, capital expenditures, financing needs and other information that is not historical information. All statements other than statements of historical facts contained in this prospectus, including the information incorporated by reference in this prospectus,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These forward-looking statements are subject to a number of risks, uncertainties, assumptions and other important factors, including those described in this prospectus and the documents incorporated herein by reference, particularly in the sections of such documents titled “Risk Factors” and “Management’s Discussion and Analysis of Financial Condition and Results of Operations.” The following uncertainties and factors, among others, could affect future performance and cause actual results to differ materially from those matters expressed in or implied by forward-looking statements: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on our strategy for the development of YB-101;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directors, officers, key employees and consultants;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grow and manage our growth effectively;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for our current or future product candidates that we may identify or develop;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ensure adequate supply of our current or future product candidates;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third-party relationships necessary to conduct our business;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 adequate safety or efficacy profile for our current or future product candidates that we may pursue;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execution of our strategic plans for our business, our current or future product candidates we may develop and our technology;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our product candidates and technology;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for our current or future product candidates we may develop;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about the size of our market opportunity;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expenses, future revenues, capital requirements and our needs for additional financing;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establish collaborations;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liquidity; </w:t>
      </w:r>
      <w:r>
        <mc:AlternateContent>
          <mc:Choice Requires="wps">
            <w:drawing>
              <wp:anchor behindDoc="0" distT="0" distB="0" distL="254000" distR="0" simplePos="0" locked="0" layoutInCell="1" allowOverlap="1" relativeHeight="118">
                <wp:simplePos x="0" y="0"/>
                <wp:positionH relativeFrom="column">
                  <wp:align>left</wp:align>
                </wp:positionH>
                <wp:positionV relativeFrom="line">
                  <wp:posOffset>635</wp:posOffset>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including the impact of government regulation;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consultants and to identify, hire and retain additional qualified professionals;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adequate internal controls over financial reporting;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global economic uncertainty and financial market volatility caused by economic effects of volatility in inflation and interest rates, tariffs, geopolitical instability, changes in international trade relationships and conflicts; and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incorporated by reference under the section titled “Risk Factors.”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any securities offered under this prospectus for general corporate purposes unless otherwise indicated in the applicable prospectus supplement. General corporate purposes may include funding research and development expenses for our clinical and preclinical pipeline, in-licensing or acquiring other products or technologies, working capital and capital expenditures. We have not determined the amount of net proceeds to be used specifically for such purposes. As a result, management will retain broad discretion over the allocation of net proceeds. We will set forth in the applicable prospectus supplement or free writing prospectus our intended use for the net proceeds received from the sale of any securities sold pursuant to the prospectus supplement or free writing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WM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WE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securities we may offer from time to time. These summary descriptions are not meant to be complete descriptions of each security. The particular terms of any securities will be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intended as a summary only and therefore is not a complete description of our capital stock. This description is based upon, and is qualified by reference to, our Amended and Restated Certificate of Incorporation (the “Certificate of Incorporation”), our Amended and Restated Bylaws (the “Bylaws”), and applicable provisions of Delaware corporate law. You should read our Certificate of Incorporation and our Bylaws, which are filed as exhibits to the registration statement of which this prospectus forms a part, for the provisions that are important to you.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300,000,000 shares of common stock, $0.0001 par value per share, and 20,000,000 shares of preferred stock, $0.0001 par value per share. As of August 10, 2026, 2,669,746 shares of common stock were outstanding and no shares of preferred stock were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Certificate of Incorporation, such as the provisions relating to amending our Bylaws, procedures for our stockholder meetings, the classified board, director liability, and exclusive forum for proceedings.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preferences that may be applicable to any then outstanding preferred stock, holders of our common stock are entitled to receive dividends, if any, as may be declared from time to time by our board of directors out of legally available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and Dissolution</w:t>
      </w:r>
      <w:r>
        <w:rPr>
          <w:rFonts w:ascii="Times New Roman;Times;serif" w:hAnsi="Times New Roman;Times;serif"/>
          <w:b w:val="false"/>
          <w:i w:val="false"/>
          <w:caps w:val="false"/>
          <w:smallCaps w:val="false"/>
          <w:color w:val="000000"/>
          <w:spacing w:val="4"/>
          <w:sz w:val="20"/>
        </w:rPr>
        <w:t xml:space="preserve">.   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Equiniti Trust Company, LLC is the transfer agent and registrar for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 on the Nasdaq Capital Market.</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the authority,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series of preferred stock offered pursuant to this prospectus will be described in the prospectus supplement relating to that series of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our Certificate of Incorporation, our Bylaws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 special meeting of stockholders may be called by our board of directors, chair of our board of directors, Chief Executive Officer or President (in the absence of a Chief Executive Officer).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include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Elimination of 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our Bylaws do not permit stockholders to act by written consent without a meeting.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Classified Board; Election and Removal of Directors; Filling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remainder of their respective three-year terms. Because our stockholders do not have cumulative voting rights, our stockholders holding a majority of the shares of common stock outstanding will be able to elect all of our directors. Our Certificate of Incorporation provides for the removal of any of our directors only for cause and requires a stockholder vote by the holders of at least 66-2/3%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Choice of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Although our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Charter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of any of the above provisions, except for the provision making it possible for our board of directors to issue undesignated preferred stock, would require approval by a stockholder vote by the holders of at least 66-2/3% of the voting power of the then outstanding voting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Delaware General Corporation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of Liability and 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unlawful payments of dividends or unlawful stock repurchases or redemptions as provided in Section 174 of the Delaware General Corporation Law; or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Certificate of Incorporation and Bylaws provides that we are required to indemnify our directors and officers, in each case, to the fullest extent permitted by Delaware law. Our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among other things, attorneys’ fees, judgments, fines and settlement amounts incurred by any of these individuals in any action or proceeding. We believe that these Bylaws provisions and indemnification agreements are necessary to attract and retain qualified persons as directors and officers. We also maintain directors’ and officers’ liability insurance.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or preferred stock.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any issue of warrants will be described in the prospectus supplement relating to the issue. Those terms may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preferred stock purchasable upon the exercise of warrants to purchase such shares and the price at which such number of shares may be purchased upon such exercise;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terms (including, without limitation, liquidation, dividend, conversion and voting rights) of the series of preferred stock purchasable upon exercise of warrants to purchase preferred stock;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warrants and the related preferred stock or common stock will be separately transferable;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federal income tax consequences applicable to the warrants; and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exercise and settlement of the warrants.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equity warrants will not be entitled to: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consent or receive dividends;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notice as stockholders with respect to any meeting of stockholders for the election of our directors or any other matter; or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rights as stockholders of Yarrow Bioscience, Inc.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its holder to purchase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dealers or agents;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or any other method permitted by law.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manner in which we may sell some or all of the securities covered by this prospectus includes any method permitted by law, including, without limitation, through: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in which a broker-dealer will attempt to sell as agent, but may position or resell a portion of the block, as principal, in order to facilitate the transaction;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a broker solicits purchasers;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an “at the market offering” within the meaning of Rule 415(a)(4) under the Securities Act, to or through one or more market makers or into an existing trading market, on an exchange or otherwise; or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or supplements (and any related free writing prospectuses that we may authorize to be provided to you) with respect to the securities of a particular series will describe the terms of the offering of the securities,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and the proceeds we will receive from the sale of the securities;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commissions, or agency fees and other items to be allowed constituting underwriting compensation;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securities from us;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dealers;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and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material terms of the offering.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EMA"/>
      <w:bookmarkEnd w:id="26"/>
      <w:r>
        <w:rPr>
          <w:rFonts w:ascii="calibri;arial;sans-serif" w:hAnsi="calibri;arial;sans-serif"/>
          <w:b w:val="false"/>
          <w:i w:val="false"/>
          <w:caps w:val="false"/>
          <w:smallCaps w:val="false"/>
          <w:color w:val="000000"/>
          <w:sz w:val="16"/>
        </w:rPr>
        <w:t>​</w:t>
      </w:r>
      <w:bookmarkStart w:id="27" w:name="tEX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VYNE Therapeutics Inc. as of December 31, 2025 and 2024, and for each of the years in the two-year period ended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Yarrow Bioscience, Inc. (changed to Yarrow Bioscience Operating Company Corp. at time of merger) as of December 31, 2025 and for the period from October 3, 2025 (inception) to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WYCF"/>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Copies of certain information filed by us with the SEC are also available free of charge on our website at </w:t>
      </w:r>
      <w:r>
        <w:rPr>
          <w:rFonts w:ascii="Times New Roman;Times;serif" w:hAnsi="Times New Roman;Times;serif"/>
          <w:b w:val="false"/>
          <w:i/>
          <w:caps w:val="false"/>
          <w:smallCaps w:val="false"/>
          <w:color w:val="000000"/>
          <w:spacing w:val="4"/>
          <w:sz w:val="20"/>
        </w:rPr>
        <w:t>www.yarrowbioscience.com</w:t>
      </w:r>
      <w:r>
        <w:rPr>
          <w:rFonts w:ascii="Times New Roman;Times;serif" w:hAnsi="Times New Roman;Times;serif"/>
          <w:b w:val="false"/>
          <w:i w:val="false"/>
          <w:caps w:val="false"/>
          <w:smallCaps w:val="false"/>
          <w:color w:val="000000"/>
          <w:spacing w:val="4"/>
          <w:sz w:val="20"/>
        </w:rPr>
        <w:t xml:space="preserve">. Our website is not a part of this prospectus and is not incorporated by reference in this prospectus. These filings will be available as soon as reasonably practicable after we electronically file such material with, or furnish it to,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Those exhibits may be filed with the registration statement or may be incorporated by reference to earlier SEC filings listed in the registration statement or in subsequent filings that we may make under the Exchange Act.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IBR"/>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these documents instead of having to repeat the information in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Our periodic reports are filed with the SEC under SEC File Number 001-38356.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hereby incorporate by reference the following documents: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25">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26">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8">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July 10,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31">
        <w:r>
          <w:rPr>
            <w:rStyle w:val="InternetLink"/>
          </w:rPr>
          <w:t>July 20, 2026</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July 21,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33">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w:t>
      </w:r>
      <w:hyperlink r:id="rId34">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and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36">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w:t>
      </w:r>
      <w:hyperlink r:id="rId37">
        <w:r>
          <w:rPr>
            <w:rStyle w:val="InternetLink"/>
          </w:rPr>
          <w:t>March 14, 2023</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 of updating such description.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we subsequently file with the SEC pursuant to Sections 13(a), 13(c), 14 and 15(d) of the Exchange Act, until the offering of the securities offered hereby is terminated or completed, shall be deemed to be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specifically stated to the contrary, none of the information that we disclose under Items 2.02 or 7.01 of any Current Report on Form 8-K that we may from time to time furnish to the SEC will be incorporated by reference into, or otherwise included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to you, regardless of whether you are a beneficial owner, at no cost, upon written or oral request, a copy of all of the documents that have been incorporated by reference in this prospectus and any applicable prospectus supplement, other than the exhibits to such documents unless the exhibits are specifically incorporated by reference but not delivered with this prospectus. Requests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Yarrow Bioscience,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470 James Street, Suite 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Haven, CT 06513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(203) 433-7577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490" w:after="283"/>
        <w:jc w:val="center"/>
        <w:rPr>
          <w:caps w:val="false"/>
          <w:smallCaps w:val="false"/>
          <w:color w:val="000000"/>
        </w:rPr>
      </w:pPr>
      <w:r>
        <w:rPr>
          <w:caps w:val="false"/>
          <w:smallCaps w:val="false"/>
          <w:color w:val="000000"/>
        </w:rPr>
        <w:drawing>
          <wp:inline distT="0" distB="0" distL="0" distR="0">
            <wp:extent cx="3009900" cy="1028700"/>
            <wp:effectExtent l="0" t="0" r="0" b="0"/>
            <wp:docPr id="1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 descr=""/>
                    <pic:cNvPicPr>
                      <a:picLocks noChangeAspect="1" noChangeArrowheads="1"/>
                    </pic:cNvPicPr>
                  </pic:nvPicPr>
                  <pic:blipFill>
                    <a:blip r:embed="rId38"/>
                    <a:stretch>
                      <a:fillRect/>
                    </a:stretch>
                  </pic:blipFill>
                  <pic:spPr bwMode="auto">
                    <a:xfrm>
                      <a:off x="0" y="0"/>
                      <a:ext cx="3009900" cy="10287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160" w:after="283"/>
        <w:jc w:val="center"/>
        <w:rPr>
          <w:caps w:val="false"/>
          <w:smallCaps w:val="false"/>
          <w:color w:val="000000"/>
        </w:rPr>
      </w:pPr>
      <w:r>
        <w:rPr>
          <w:caps w:val="false"/>
          <w:smallCaps w:val="false"/>
          <w:color w:val="000000"/>
          <w:spacing w:val="-6"/>
        </w:rPr>
        <w:t xml:space="preserve">         </w:t>
      </w:r>
      <w:r>
        <w:rPr>
          <w:rFonts w:ascii="Times New Roman;Times;serif" w:hAnsi="Times New Roman;Times;serif"/>
          <w:b/>
          <w:i w:val="false"/>
          <w:caps w:val="false"/>
          <w:smallCaps w:val="false"/>
          <w:color w:val="000000"/>
          <w:spacing w:val="-6"/>
          <w:sz w:val="28"/>
        </w:rPr>
        <w:t>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Pre-funded Warrants to Purchase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5060" w:type="dxa"/>
        <w:jc w:val="left"/>
        <w:tblInd w:w="1393" w:type="dxa"/>
        <w:tblLayout w:type="fixed"/>
        <w:tblCellMar>
          <w:top w:w="0" w:type="dxa"/>
          <w:left w:w="0" w:type="dxa"/>
          <w:bottom w:w="0" w:type="dxa"/>
          <w:right w:w="0" w:type="dxa"/>
        </w:tblCellMar>
      </w:tblPr>
      <w:tblGrid>
        <w:gridCol w:w="124"/>
        <w:gridCol w:w="890"/>
        <w:gridCol w:w="109"/>
        <w:gridCol w:w="109"/>
        <w:gridCol w:w="1211"/>
        <w:gridCol w:w="109"/>
        <w:gridCol w:w="109"/>
        <w:gridCol w:w="2245"/>
        <w:gridCol w:w="154"/>
      </w:tblGrid>
      <w:tr>
        <w:trPr/>
        <w:tc>
          <w:tcPr>
            <w:tcW w:w="124"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pPr>
            <w:r>
              <w:rPr>
                <w:spacing w:val="-7"/>
              </w:rPr>
              <w:t>Jefferies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0"/>
              <w:jc w:val="left"/>
              <w:rPr/>
            </w:pPr>
            <w:r>
              <w:rPr>
                <w:spacing w:val="-7"/>
              </w:rPr>
              <w:t>TD Cowen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5" w:type="dxa"/>
            <w:tcBorders/>
            <w:vAlign w:val="center"/>
          </w:tcPr>
          <w:p>
            <w:pPr>
              <w:pStyle w:val="TableContents"/>
              <w:bidi w:val="0"/>
              <w:spacing w:before="0" w:after="0"/>
              <w:jc w:val="right"/>
              <w:rPr/>
            </w:pPr>
            <w:r>
              <w:rPr>
                <w:spacing w:val="-7"/>
              </w:rPr>
              <w:t>Guggenheim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Lead Manager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LifeSci Capital</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200" w:after="283"/>
        <w:jc w:val="center"/>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2026 </w:t>
      </w:r>
    </w:p>
    <w:p>
      <w:pPr>
        <w:pStyle w:val="TextBody"/>
        <w:bidi w:val="0"/>
        <w:spacing w:before="17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66044/000156604426000010/vyne-20260630.htm" TargetMode="External"/><Relationship Id="rId4" Type="http://schemas.openxmlformats.org/officeDocument/2006/relationships/hyperlink" Target="https://www.sec.gov/ix?doc=/Archives/edgar/data/1566044/000110465926095925/tm2622598d1_8ka.htm" TargetMode="External"/><Relationship Id="rId5" Type="http://schemas.openxmlformats.org/officeDocument/2006/relationships/hyperlink" Target="http://www.sec.gov/ix?doc=/Archives/edgar/data/1566044/000156604426000010/vyne-20260630.htm" TargetMode="External"/><Relationship Id="rId6" Type="http://schemas.openxmlformats.org/officeDocument/2006/relationships/hyperlink" Target="http://www.sec.gov/ix?doc=/Archives/edgar/data/1566044/000110465926095925/tm2622598d1_8ka.htm" TargetMode="External"/><Relationship Id="rId7" Type="http://schemas.openxmlformats.org/officeDocument/2006/relationships/hyperlink" Target="http://www.sec.gov/ix?doc=/Archives/edgar/data/1566044/000156604426000010/vyne-20260630.htm" TargetMode="External"/><Relationship Id="rId8" Type="http://schemas.openxmlformats.org/officeDocument/2006/relationships/hyperlink" Target="https://www.sec.gov/ix?doc=/Archives/edgar/data/1566044/000156604426000002/vyne-20251231.htm" TargetMode="External"/><Relationship Id="rId9" Type="http://schemas.openxmlformats.org/officeDocument/2006/relationships/hyperlink" Target="https://www.sec.gov/ix?doc=/Archives/edgar/data/1566044/000156604426000005/vyne-20260331.htm" TargetMode="External"/><Relationship Id="rId10" Type="http://schemas.openxmlformats.org/officeDocument/2006/relationships/hyperlink" Target="https://www.sec.gov/ix?doc=/Archives/edgar/data/1566044/000156604426000010/vyne-20260630.htm" TargetMode="External"/><Relationship Id="rId11" Type="http://schemas.openxmlformats.org/officeDocument/2006/relationships/hyperlink" Target="https://www.sec.gov/ix?doc=/Archives/edgar/data/1566044/000110465926008642/tm264541d1_8k.htm" TargetMode="External"/><Relationship Id="rId12" Type="http://schemas.openxmlformats.org/officeDocument/2006/relationships/hyperlink" Target="https://www.sec.gov/ix?doc=/Archives/edgar/data/1566044/000110465926026439/tm268461d1_8k.htm" TargetMode="External"/><Relationship Id="rId13" Type="http://schemas.openxmlformats.org/officeDocument/2006/relationships/hyperlink" Target="https://www.sec.gov/ix?doc=/Archives/edgar/data/1566044/000110465926082433/tm2620182d1_8k.htm" TargetMode="External"/><Relationship Id="rId14" Type="http://schemas.openxmlformats.org/officeDocument/2006/relationships/hyperlink" Target="https://www.sec.gov/ix?doc=/Archives/edgar/data/1566044/000110465926084760/tm2620687d2_8k.htm" TargetMode="External"/><Relationship Id="rId15" Type="http://schemas.openxmlformats.org/officeDocument/2006/relationships/hyperlink" Target="https://www.sec.gov/ix?doc=/Archives/edgar/data/1566044/000110465926085235/tm2620874d1_8k.htm" TargetMode="External"/><Relationship Id="rId16" Type="http://schemas.openxmlformats.org/officeDocument/2006/relationships/hyperlink" Target="https://www.sec.gov/ix?doc=/Archives/edgar/data/1566044/000110465926087601/tm2620687d3_8k.htm" TargetMode="External"/><Relationship Id="rId17" Type="http://schemas.openxmlformats.org/officeDocument/2006/relationships/hyperlink" Target="https://www.sec.gov/ix?doc=/Archives/edgar/data/1566044/000110465926088662/tm2621655d2_8k.htm" TargetMode="External"/><Relationship Id="rId18" Type="http://schemas.openxmlformats.org/officeDocument/2006/relationships/hyperlink" Target="https://www.sec.gov/ix?doc=/Archives/edgar/data/1566044/000110465926095925/tm2622598d1_8ka.htm" TargetMode="External"/><Relationship Id="rId19" Type="http://schemas.openxmlformats.org/officeDocument/2006/relationships/hyperlink" Target="https://www.sec.gov/ix?doc=/Archives/edgar/data/1566044/000110465926106699/tm2624937d1_8k.htm" TargetMode="External"/><Relationship Id="rId20" Type="http://schemas.openxmlformats.org/officeDocument/2006/relationships/hyperlink" Target="https://www.sec.gov/ix?doc=/Archives/edgar/data/1566044/000110465926106699/tm2624937d1_8k.htm" TargetMode="External"/><Relationship Id="rId21" Type="http://schemas.openxmlformats.org/officeDocument/2006/relationships/hyperlink" Target="https://www.sec.gov/ix?doc=/Archives/edgar/data/1566044/000110465926106699/tm2624937d1_8k.htm" TargetMode="External"/><Relationship Id="rId22" Type="http://schemas.openxmlformats.org/officeDocument/2006/relationships/hyperlink" Target="https://www.sec.gov/Archives/edgar/data/1566044/000162828023007900/exhibit4112312022.htm" TargetMode="External"/><Relationship Id="rId23" Type="http://schemas.openxmlformats.org/officeDocument/2006/relationships/hyperlink" Target="https://www.sec.gov/ix?doc=/Archives/edgar/data/0001566044/000162828023007900/vyne-20221231.htm" TargetMode="External"/><Relationship Id="rId24" Type="http://schemas.openxmlformats.org/officeDocument/2006/relationships/image" Target="media/image1.jpeg"/><Relationship Id="rId25" Type="http://schemas.openxmlformats.org/officeDocument/2006/relationships/hyperlink" Target="https://www.sec.gov/ix?doc=/Archives/edgar/data/1566044/000156604426000002/vyne-20251231.htm" TargetMode="External"/><Relationship Id="rId26" Type="http://schemas.openxmlformats.org/officeDocument/2006/relationships/hyperlink" Target="https://www.sec.gov/ix?doc=/Archives/edgar/data/1566044/000156604426000005/vyne-20260331.htm" TargetMode="External"/><Relationship Id="rId27" Type="http://schemas.openxmlformats.org/officeDocument/2006/relationships/hyperlink" Target="https://www.sec.gov/ix?doc=/Archives/edgar/data/1566044/000156604426000010/vyne-20260630.htm" TargetMode="External"/><Relationship Id="rId28" Type="http://schemas.openxmlformats.org/officeDocument/2006/relationships/hyperlink" Target="https://www.sec.gov/ix?doc=/Archives/edgar/data/1566044/000110465926008642/tm264541d1_8k.htm" TargetMode="External"/><Relationship Id="rId29" Type="http://schemas.openxmlformats.org/officeDocument/2006/relationships/hyperlink" Target="https://www.sec.gov/ix?doc=/Archives/edgar/data/1566044/000110465926026439/tm268461d1_8k.htm" TargetMode="External"/><Relationship Id="rId30" Type="http://schemas.openxmlformats.org/officeDocument/2006/relationships/hyperlink" Target="https://www.sec.gov/ix?doc=/Archives/edgar/data/1566044/000110465926082433/tm2620182d1_8k.htm" TargetMode="External"/><Relationship Id="rId31" Type="http://schemas.openxmlformats.org/officeDocument/2006/relationships/hyperlink" Target="https://www.sec.gov/ix?doc=/Archives/edgar/data/1566044/000110465926084760/tm2620687d2_8k.htm" TargetMode="External"/><Relationship Id="rId32" Type="http://schemas.openxmlformats.org/officeDocument/2006/relationships/hyperlink" Target="https://www.sec.gov/ix?doc=/Archives/edgar/data/1566044/000110465926085235/tm2620874d1_8k.htm" TargetMode="External"/><Relationship Id="rId33" Type="http://schemas.openxmlformats.org/officeDocument/2006/relationships/hyperlink" Target="https://www.sec.gov/ix?doc=/Archives/edgar/data/1566044/000110465926087601/tm2620687d3_8k.htm" TargetMode="External"/><Relationship Id="rId34" Type="http://schemas.openxmlformats.org/officeDocument/2006/relationships/hyperlink" Target="https://www.sec.gov/ix?doc=/Archives/edgar/data/1566044/000110465926088662/tm2621655d2_8k.htm" TargetMode="External"/><Relationship Id="rId35" Type="http://schemas.openxmlformats.org/officeDocument/2006/relationships/hyperlink" Target="https://www.sec.gov/ix?doc=/Archives/edgar/data/1566044/000110465926095925/tm2622598d1_8ka.htm" TargetMode="External"/><Relationship Id="rId36" Type="http://schemas.openxmlformats.org/officeDocument/2006/relationships/hyperlink" Target="https://www.sec.gov/Archives/edgar/data/1566044/000162828023007900/exhibit4112312022.htm" TargetMode="External"/><Relationship Id="rId37" Type="http://schemas.openxmlformats.org/officeDocument/2006/relationships/hyperlink" Target="https://www.sec.gov/ix?doc=/Archives/edgar/data/0001566044/000162828023007900/vyne-20221231.htm" TargetMode="External"/><Relationship Id="rId38" Type="http://schemas.openxmlformats.org/officeDocument/2006/relationships/image" Target="media/image1.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28336</Words>
  <Characters>150848</Characters>
  <CharactersWithSpaces>180651</CharactersWithSpaces>
  <Paragraphs>1730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