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0687d2_8k.htm"/>
      <w:bookmarkStart w:id="1" w:name="kstm2620687d2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7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VYNE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716"/>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275"/>
        <w:gridCol w:w="60"/>
        <w:gridCol w:w="1085"/>
      </w:tblGrid>
      <w:tr>
        <w:trPr/>
        <w:tc>
          <w:tcPr>
            <w:tcW w:w="3275" w:type="dxa"/>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P.O. Box 125, </w:t>
            </w:r>
            <w:bookmarkStart w:id="9" w:name="xdx_909_edei--EntityAddressCityOrTown_c2"/>
            <w:bookmarkEnd w:id="9"/>
            <w:r>
              <w:rPr>
                <w:b/>
                <w:sz w:val="20"/>
              </w:rPr>
              <w:t xml:space="preserve">Stewartsville, </w:t>
            </w:r>
            <w:bookmarkStart w:id="10" w:name="xdx_906_edei--EntityAddressStateOrProvin"/>
            <w:bookmarkEnd w:id="10"/>
            <w:r>
              <w:rPr>
                <w:b/>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1" w:name="xdx_904_edei--EntityAddressPostalZipCode"/>
            <w:bookmarkEnd w:id="11"/>
            <w:r>
              <w:rPr>
                <w:b/>
              </w:rPr>
              <w:t>08886</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F_edei--CityAreaCode_c20260716__20"/>
      <w:bookmarkEnd w:id="12"/>
      <w:r>
        <w:rPr>
          <w:rFonts w:ascii="Times New Roman;Times;Serif" w:hAnsi="Times New Roman;Times;Serif"/>
          <w:b w:val="false"/>
          <w:i w:val="false"/>
          <w:caps w:val="false"/>
          <w:smallCaps w:val="false"/>
          <w:sz w:val="20"/>
        </w:rPr>
        <w:t xml:space="preserve">800) </w:t>
      </w:r>
      <w:bookmarkStart w:id="13" w:name="xdx_904_edei--LocalPhoneNumber_c20260716"/>
      <w:bookmarkEnd w:id="13"/>
      <w:r>
        <w:rPr>
          <w:rFonts w:ascii="Times New Roman;Times;Serif" w:hAnsi="Times New Roman;Times;Serif"/>
          <w:b w:val="false"/>
          <w:i w:val="false"/>
          <w:caps w:val="false"/>
          <w:smallCaps w:val="false"/>
          <w:sz w:val="20"/>
        </w:rPr>
        <w:t>775-7936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4" w:name="xdx_901_edei--WrittenCommunications_c202"/>
            <w:bookmarkEnd w:id="14"/>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5" w:name="xdx_90B_edei--SolicitingMaterial_c202607"/>
            <w:bookmarkEnd w:id="15"/>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465" w:type="dxa"/>
        <w:jc w:val="left"/>
        <w:tblInd w:w="0" w:type="dxa"/>
        <w:shd w:fill="FFFFFF" w:val="clear"/>
        <w:tblLayout w:type="fixed"/>
        <w:tblCellMar>
          <w:top w:w="0" w:type="dxa"/>
          <w:left w:w="0" w:type="dxa"/>
          <w:bottom w:w="28" w:type="dxa"/>
          <w:right w:w="0" w:type="dxa"/>
        </w:tblCellMar>
      </w:tblPr>
      <w:tblGrid>
        <w:gridCol w:w="2945"/>
        <w:gridCol w:w="60"/>
        <w:gridCol w:w="725"/>
        <w:gridCol w:w="60"/>
        <w:gridCol w:w="2675"/>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5_edei--Security12bTitle_c20260716"/>
            <w:bookmarkEnd w:id="18"/>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0_edei--TradingSymbol_c20260716__2"/>
            <w:bookmarkEnd w:id="19"/>
            <w:r>
              <w:rPr>
                <w:rFonts w:ascii="Times New Roman;Times;Serif" w:hAnsi="Times New Roman;Times;Serif"/>
                <w:b/>
                <w:sz w:val="20"/>
              </w:rPr>
              <w:t>VYNE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2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17, 2025, VYNE Therapeutics Inc., a Delaware corporation (“VYNE” or the “Company”), entered into an Agreement and Plan of Merger and Reorganization (as amended, the “Merger Agreement”), by and among VYNE, Yellow Merger Sub Corp., a Delaware corporation and a wholly owned subsidiary of VYNE (“Merger Sub”), and Yarrow Bioscience, Inc., a Delaware corporation (“Yarrow”), pursuant to which, and subject to the satisfaction or waiver of the conditions set forth in the Merger Agreement, among other things, Merger Sub will merge with and into Yarrow, with Yarrow continuing as a wholly owned subsidiary of VYNE and the surviving corporation of the merger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VYNE held a special meeting in lieu of the annual meeting of VYNE stockholders on July 16, 2026 (the “Special Meeting”), at which the Company’s stockholders voted on the proposals set forth below relating to the Merger Agreement. The proposals are described in detail in the Company’s definitive proxy statement/prospectus filed on Form S-4 with the Securities and Exchange Commission (the “SEC”), most recently amended on June 3, 2026 and declared effective on June 15, 2026 (as amended, the “Proxy Statement”) and first mailed to the Company’s stockholders on June 15, 2026. The final voting results regarding each proposal are set forth below. There were 33,385,055 shares of common stock of VYNE, par value $0.0001 per share (the “VYNE Common Stock”), outstanding and entitled to vote on June 5, 2026, the record date for the Special Meeting, and 25,949,357 shares of the VYNE Common Stock were represented in person or by proxy at the Special Meeting, which number constituted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To approve the issuance of shares of VYNE Common Stock (including the shares of VYNE Common Stock issuable upon exercise of VYNE pre-funded warrants) to stockholders of Yarrow pursuant to the terms of the Merger Agreement, as more fully described in the Proxy Statement , which will (i) represent more than 20% of the shares of VYNE Common Stock outstanding immediately prior to the Merger under Nasdaq Listing Rule 5635(a) and (ii) result in a change of control under Nasdaq Listing Rule 5635(b).</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15,915,017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To approve an amendment to the amended and restated certificate of incorporation of VYNE (the “VYNE Charter”) to effect a reverse stock split of issued and outstanding VYNE Common Stock at a ratio determined by the VYNE board of directors and agreed to by Yarrow, of one new share of VYNE Common Stock for every 10 to 70 shares (or any number in between) of outstanding VYNE Common Stock, in the form attached as Annex C to the Proxy Statement.</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25,389,760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550,694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To approve an amendment to the VYNE Charter to increase the number of shares of VYNE Common Stock that VYNE is authorized to issue from 150,000,000 to 300,000,000, in the form attached as Annex D to the Proxy Statement.</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23,921,348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2,013,526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14,483</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To approve the Yarrow Bioscience, Inc. 2026 Stock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12,691,384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3,358,164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To approve the Yarrow Bioscience, Inc. 2026 Employee Stock Purchase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13,131,018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2,909,493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To elect the Class II director, Sharon Barbari, to the VYNE board of directors to hold office until VYNE’s 2029 annual meeting of stockholders and until her successor has been duly elected and qualified, or until her earlier death, resignation or removal; provided that if the Merger is consummated, the approval of Proposal No. 6 will only have an effect until the completion of the Merger because the composition of the VYNE board of directors will be reconstituted upon completion of the Merger, in accordance with the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28" w:type="dxa"/>
          <w:right w:w="0" w:type="dxa"/>
        </w:tblCellMar>
      </w:tblPr>
      <w:tblGrid>
        <w:gridCol w:w="965"/>
        <w:gridCol w:w="60"/>
        <w:gridCol w:w="1310"/>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13,507,888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2,552,128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To ratify the appointment of Baker Tilly US, LLP as VYNE’s independent registered public accounting firm for fiscal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25,838,022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To approve, on an advisory basis, certain compensation arrangements for VYNE’s named executive officers that are based on or otherwise relate to the Merger.</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15,690,875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9</w:t>
      </w:r>
      <w:r>
        <w:rPr>
          <w:rFonts w:ascii="Times New Roman;Times;Serif" w:hAnsi="Times New Roman;Times;Serif"/>
          <w:b w:val="false"/>
          <w:i w:val="false"/>
          <w:caps w:val="false"/>
          <w:smallCaps w:val="false"/>
          <w:sz w:val="20"/>
        </w:rPr>
        <w:t>: To approve, on an advisory basis, the compensation of VYNE’s named executive officers, as disclosed in the Proxy Statement.</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15,713,654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9,889,341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10</w:t>
      </w:r>
      <w:r>
        <w:rPr>
          <w:rFonts w:ascii="Times New Roman;Times;Serif" w:hAnsi="Times New Roman;Times;Serif"/>
          <w:b w:val="false"/>
          <w:i w:val="false"/>
          <w:caps w:val="false"/>
          <w:smallCaps w:val="false"/>
          <w:sz w:val="20"/>
        </w:rPr>
        <w:t>: To approve an adjournment of the Special Meeting, if necessary, to solicit additional proxies if there are not sufficient votes in favor of Proposal Nos. 1 and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(i) Proposal Nos. 1, 2, 3, 4, 5, 7, 8 and 9 were approved by the affirmative vote of a majority of the votes properly cast for and against by the holders of VYNE Common Stock at the Special Meeting and (ii) the Class II director nominee under Proposal No. 6 was elected by the affirmative vote of a plurality of the votes properly cast by the holders of VYNE Common Stock entitled to vote at the Special Meeting. As there were sufficient votes to approve Proposal No. 1 and Proposal No. 2 at the time of the Special Meeting, Proposal No. 10 was not presented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CURRENT REPORT ON FORM 8-K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625"/>
        <w:gridCol w:w="3335"/>
      </w:tblGrid>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VYNE THERAPEUTICS INC.</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17, 2026</w:t>
            </w:r>
          </w:p>
        </w:tc>
        <w:tc>
          <w:tcPr>
            <w:tcW w:w="33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Mutya Harsch</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Mutya Harsch</w:t>
            </w:r>
          </w:p>
        </w:tc>
      </w:tr>
      <w:tr>
        <w:trPr/>
        <w:tc>
          <w:tcPr>
            <w:tcW w:w="162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1495</Words>
  <Characters>7818</Characters>
  <CharactersWithSpaces>9329</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