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both"/>
        <w:rPr/>
      </w:pPr>
      <w:bookmarkStart w:id="0" w:name="tm2624937d1_8k.htm"/>
      <w:bookmarkStart w:id="1" w:name="kstm262493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9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Yarrow Bioscience,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60" w:type="dxa"/>
        <w:jc w:val="left"/>
        <w:tblInd w:w="0" w:type="dxa"/>
        <w:tblLayout w:type="fixed"/>
        <w:tblCellMar>
          <w:top w:w="0" w:type="dxa"/>
          <w:left w:w="0" w:type="dxa"/>
          <w:bottom w:w="0" w:type="dxa"/>
          <w:right w:w="0" w:type="dxa"/>
        </w:tblCellMar>
      </w:tblPr>
      <w:tblGrid>
        <w:gridCol w:w="2570"/>
        <w:gridCol w:w="60"/>
        <w:gridCol w:w="1295"/>
        <w:gridCol w:w="60"/>
        <w:gridCol w:w="1775"/>
      </w:tblGrid>
      <w:tr>
        <w:trPr/>
        <w:tc>
          <w:tcPr>
            <w:tcW w:w="257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910"/>
            <w:bookmarkEnd w:id="6"/>
            <w:r>
              <w:rPr>
                <w:rFonts w:ascii="Times New Roman;Times;Serif" w:hAnsi="Times New Roman;Times;Serif"/>
                <w:b/>
                <w:sz w:val="20"/>
              </w:rPr>
              <w:t>001-38356</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45-3757789</w:t>
            </w:r>
          </w:p>
        </w:tc>
      </w:tr>
      <w:tr>
        <w:trPr/>
        <w:tc>
          <w:tcPr>
            <w:tcW w:w="257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4565"/>
        <w:gridCol w:w="60"/>
        <w:gridCol w:w="1085"/>
      </w:tblGrid>
      <w:tr>
        <w:trPr/>
        <w:tc>
          <w:tcPr>
            <w:tcW w:w="4565" w:type="dxa"/>
            <w:tcBorders/>
            <w:vAlign w:val="center"/>
          </w:tcPr>
          <w:p>
            <w:pPr>
              <w:pStyle w:val="TableContents"/>
              <w:bidi w:val="0"/>
              <w:spacing w:before="0" w:after="283"/>
              <w:jc w:val="center"/>
              <w:rPr>
                <w:b/>
              </w:rPr>
            </w:pPr>
            <w:bookmarkStart w:id="8" w:name="xdx_901_edei--EntityAddressAddressLine1_"/>
            <w:bookmarkEnd w:id="8"/>
            <w:r>
              <w:rPr>
                <w:b/>
              </w:rPr>
              <w:t xml:space="preserve">470 James Street, </w:t>
            </w:r>
            <w:bookmarkStart w:id="9" w:name="xdx_90E_edei--EntityAddressAddressLine2_"/>
            <w:bookmarkEnd w:id="9"/>
            <w:r>
              <w:rPr>
                <w:b/>
              </w:rPr>
              <w:t xml:space="preserve">Suite 007, </w:t>
            </w:r>
            <w:bookmarkStart w:id="10" w:name="xdx_90C_edei--EntityAddressCityOrTown_c2"/>
            <w:bookmarkEnd w:id="10"/>
            <w:r>
              <w:rPr>
                <w:b/>
              </w:rPr>
              <w:t xml:space="preserve">New Haven, </w:t>
            </w:r>
            <w:bookmarkStart w:id="11" w:name="xdx_90A_edei--EntityAddressStateOrProvin"/>
            <w:bookmarkEnd w:id="11"/>
            <w:r>
              <w:rPr>
                <w:b/>
              </w:rPr>
              <w:t>CT</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b/>
              </w:rPr>
            </w:pPr>
            <w:bookmarkStart w:id="12" w:name="xdx_90B_edei--EntityAddressPostalZipCode"/>
            <w:bookmarkEnd w:id="12"/>
            <w:r>
              <w:rPr>
                <w:b/>
              </w:rPr>
              <w:t>06513</w:t>
            </w:r>
          </w:p>
        </w:tc>
      </w:tr>
      <w:tr>
        <w:trPr/>
        <w:tc>
          <w:tcPr>
            <w:tcW w:w="456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center"/>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9_edei--CityAreaCode_c20260910__20"/>
      <w:bookmarkEnd w:id="13"/>
      <w:r>
        <w:rPr>
          <w:rFonts w:ascii="Times New Roman;Times;Serif" w:hAnsi="Times New Roman;Times;Serif"/>
          <w:b w:val="false"/>
          <w:i w:val="false"/>
          <w:caps w:val="false"/>
          <w:smallCaps w:val="false"/>
          <w:sz w:val="20"/>
        </w:rPr>
        <w:t xml:space="preserve">203) </w:t>
      </w:r>
      <w:bookmarkStart w:id="14" w:name="xdx_908_edei--LocalPhoneNumber_c20260910"/>
      <w:bookmarkEnd w:id="14"/>
      <w:r>
        <w:rPr>
          <w:rFonts w:ascii="Times New Roman;Times;Serif" w:hAnsi="Times New Roman;Times;Serif"/>
          <w:b w:val="false"/>
          <w:i w:val="false"/>
          <w:caps w:val="false"/>
          <w:smallCaps w:val="false"/>
          <w:sz w:val="20"/>
        </w:rPr>
        <w:t>433-7577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bookmarkStart w:id="15" w:name="xdx_904_edei--WrittenCommunications_c202"/>
            <w:bookmarkEnd w:id="15"/>
            <w:r>
              <w:rPr/>
              <w:t>☐</w:t>
            </w:r>
          </w:p>
        </w:tc>
        <w:tc>
          <w:tcPr>
            <w:tcW w:w="9975"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6" w:name="xdx_90E_edei--SolicitingMaterial_c202609"/>
            <w:bookmarkEnd w:id="16"/>
            <w:r>
              <w:rPr/>
              <w:t>☐</w:t>
            </w:r>
          </w:p>
        </w:tc>
        <w:tc>
          <w:tcPr>
            <w:tcW w:w="9975" w:type="dxa"/>
            <w:tcBorders/>
            <w:vAlign w:val="center"/>
          </w:tcPr>
          <w:p>
            <w:pPr>
              <w:pStyle w:val="TableContents"/>
              <w:bidi w:val="0"/>
              <w:spacing w:before="0" w:after="283"/>
              <w:jc w:val="left"/>
              <w:rPr/>
            </w:pPr>
            <w:r>
              <w:rPr/>
              <w:t>Soliciting material pursuant to Rule 14a-12 under the Exchange Act (17 CFR 240.14a-12)</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75"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3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bookmarkStart w:id="18" w:name="xdx_901_edei--PreCommencementIssuerTende"/>
            <w:bookmarkEnd w:id="18"/>
            <w:r>
              <w:rPr/>
              <w:t>☐</w:t>
            </w:r>
          </w:p>
        </w:tc>
        <w:tc>
          <w:tcPr>
            <w:tcW w:w="9975"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345" w:type="dxa"/>
        <w:jc w:val="left"/>
        <w:tblInd w:w="0" w:type="dxa"/>
        <w:shd w:fill="FFFFFF" w:val="clear"/>
        <w:tblLayout w:type="fixed"/>
        <w:tblCellMar>
          <w:top w:w="0" w:type="dxa"/>
          <w:left w:w="0" w:type="dxa"/>
          <w:bottom w:w="28" w:type="dxa"/>
          <w:right w:w="0" w:type="dxa"/>
        </w:tblCellMar>
      </w:tblPr>
      <w:tblGrid>
        <w:gridCol w:w="2945"/>
        <w:gridCol w:w="60"/>
        <w:gridCol w:w="860"/>
        <w:gridCol w:w="60"/>
        <w:gridCol w:w="2420"/>
      </w:tblGrid>
      <w:tr>
        <w:trPr/>
        <w:tc>
          <w:tcPr>
            <w:tcW w:w="29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2945"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5_edei--Security12bTitle_c20260910"/>
            <w:bookmarkEnd w:id="19"/>
            <w:r>
              <w:rPr>
                <w:rFonts w:ascii="Times New Roman;Times;Serif" w:hAnsi="Times New Roman;Times;Serif"/>
                <w:b/>
                <w:sz w:val="20"/>
              </w:rPr>
              <w:t>Common Stock, $0.0001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3_edei--TradingSymbol_c20260910__2"/>
            <w:bookmarkEnd w:id="20"/>
            <w:r>
              <w:rPr>
                <w:rFonts w:ascii="Times New Roman;Times;Serif" w:hAnsi="Times New Roman;Times;Serif"/>
                <w:b/>
                <w:sz w:val="20"/>
              </w:rPr>
              <w:t>YARW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1" w:name="xdx_901_edei--SecurityExchangeName_c2026"/>
            <w:bookmarkEnd w:id="21"/>
            <w:r>
              <w:rPr>
                <w:rFonts w:ascii="Times New Roman;Times;Serif" w:hAnsi="Times New Roman;Times;Serif"/>
                <w:b/>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75"/>
        <w:gridCol w:w="119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Yarrow Bioscience, Inc., a Delaware corporation (the “Company”), made available the Company’s investor presentation to be used in general corporate communications and investor communications. A copy of the corporate presentation is filed as Exhibit 99.1 to this Current Report on Form 8-K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Update to Part I, Item 1 – Business of the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updates Part I, Item 1 – Business of the Annual Report on Form 10-K for the year ended December 31, 2025 (the “Annual Report”) of the Company to reflect the merger between the Company and Yarrow Bioscience Operating Company Corp. (formerly known as Yarrow Bioscience,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information is filed hereunder as Exhibit 99.2,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revisions to the Annual Report relate solely to the item set forth above. These revisions have no effect on the Company’s previously reported results of operations, financial position, or cash flows. The information in this Current Report on Form 8-K should be read in conjunction with the Annual Report (except for the items revised herein), which was previously filed with the Securities and Exchange Commission (the “SEC”). All other information in the Annual Report remains unchanged and the items in the Annual Report have not been updated for events occurring after December 31, 2025, except as expressly set forth in Exhibit 99.2. For significant developments since December 31, 2025, refer to subsequently filed Quarterly Reports on Form 10-Q and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is deemed incorporated by reference into the Company’s registration statements filed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(including within the meaning of Section 21E of the Securities Exchange Act of 1934, as amended, and Section 27A of the Securities Act) concerning the Company. The words “anticipate,” “believe,” “contemplate,” “continue,” “could,” “estimate,” “expect,” “intend,”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will be those that have been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Form 8-K are based on current expectations and beliefs concerning future developments and their potential effects and therefore are subject to other risks and uncertainties. These risks and uncertainties include, but are not limited to, those risks and uncertainties and other factors more fully described in filings with the SEC, including reports filed on Form 10-K, 10-Q and 8-K and in other filings made by the Company with the SEC from time to time and available at www.sec.gov. These forward-looking statements are based on current expectations, management’s beliefs and certain assumptions made by the Company, all of which are subject to change. Such forward-looking statements are made as of the date of this Form 8-K, and the Company undertakes no obligation to update such statements to reflect subsequent events or circumstances, except as otherwise required by securities and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 Exhibits. </w:t>
      </w:r>
      <w:r>
        <w:rPr>
          <w:rFonts w:ascii="Times New Roman;Times;Serif" w:hAnsi="Times New Roman;Times;Serif"/>
          <w:b w:val="false"/>
          <w:i w:val="false"/>
          <w:caps w:val="false"/>
          <w:smallCaps w:val="false"/>
          <w:sz w:val="20"/>
        </w:rPr>
        <w:t>The following exhibits are being filed herewith:</w:t>
      </w:r>
    </w:p>
    <w:p>
      <w:pPr>
        <w:pStyle w:val="TextBody"/>
        <w:bidi w:val="0"/>
        <w:spacing w:before="0" w:after="0"/>
        <w:ind w:left="0" w:right="0" w:hanging="0"/>
        <w:jc w:val="left"/>
        <w:rPr>
          <w:caps w:val="false"/>
          <w:smallCaps w:val="false"/>
        </w:rPr>
      </w:pPr>
      <w:r>
        <w:rPr>
          <w:caps w:val="false"/>
          <w:smallCaps w:val="false"/>
        </w:rPr>
        <w:t> </w:t>
      </w:r>
    </w:p>
    <w:tbl>
      <w:tblPr>
        <w:tblW w:w="7945" w:type="dxa"/>
        <w:jc w:val="left"/>
        <w:tblInd w:w="0" w:type="dxa"/>
        <w:tblLayout w:type="fixed"/>
        <w:tblCellMar>
          <w:top w:w="0" w:type="dxa"/>
          <w:left w:w="0" w:type="dxa"/>
          <w:bottom w:w="28" w:type="dxa"/>
          <w:right w:w="0" w:type="dxa"/>
        </w:tblCellMar>
      </w:tblPr>
      <w:tblGrid>
        <w:gridCol w:w="1400"/>
        <w:gridCol w:w="60"/>
        <w:gridCol w:w="648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Title or Description</w:t>
            </w:r>
          </w:p>
        </w:tc>
      </w:tr>
      <w:tr>
        <w:trPr/>
        <w:tc>
          <w:tcPr>
            <w:tcW w:w="1400" w:type="dxa"/>
            <w:tcBorders/>
            <w:shd w:fill="CCEEFF" w:val="clear"/>
            <w:tcMar>
              <w:bottom w:w="0" w:type="dxa"/>
            </w:tcMar>
            <w:vAlign w:val="center"/>
          </w:tcPr>
          <w:p>
            <w:pPr>
              <w:pStyle w:val="TableContents"/>
              <w:bidi w:val="0"/>
              <w:spacing w:before="0" w:after="283"/>
              <w:jc w:val="both"/>
              <w:rPr/>
            </w:pPr>
            <w:hyperlink w:anchor="tm2624937d1_ex99-1.htm">
              <w:r>
                <w:rPr>
                  <w:rStyle w:val="InternetLink"/>
                  <w:rFonts w:ascii="Times New Roman;Times;Serif" w:hAnsi="Times New Roman;Times;Serif"/>
                  <w:sz w:val="2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pPr>
            <w:hyperlink w:anchor="tm2624937d1_ex99-1.htm">
              <w:r>
                <w:rPr>
                  <w:rStyle w:val="InternetLink"/>
                  <w:rFonts w:ascii="Times New Roman;Times;Serif" w:hAnsi="Times New Roman;Times;Serif"/>
                  <w:sz w:val="20"/>
                </w:rPr>
                <w:t>Investor Presentation, dated September 2026</w:t>
              </w:r>
            </w:hyperlink>
          </w:p>
        </w:tc>
      </w:tr>
      <w:tr>
        <w:trPr/>
        <w:tc>
          <w:tcPr>
            <w:tcW w:w="1400" w:type="dxa"/>
            <w:tcBorders/>
            <w:shd w:fill="FFFFFF" w:val="clear"/>
            <w:tcMar>
              <w:bottom w:w="0" w:type="dxa"/>
            </w:tcMar>
            <w:vAlign w:val="center"/>
          </w:tcPr>
          <w:p>
            <w:pPr>
              <w:pStyle w:val="TableContents"/>
              <w:bidi w:val="0"/>
              <w:spacing w:before="0" w:after="283"/>
              <w:jc w:val="both"/>
              <w:rPr/>
            </w:pPr>
            <w:hyperlink w:anchor="tm2624937d1_ex99-2.htm">
              <w:r>
                <w:rPr>
                  <w:rStyle w:val="InternetLink"/>
                  <w:rFonts w:ascii="Times New Roman;Times;Serif" w:hAnsi="Times New Roman;Times;Serif"/>
                  <w:sz w:val="20"/>
                </w:rPr>
                <w:t>99.2</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pPr>
            <w:hyperlink w:anchor="tm2624937d1_ex99-2.htm">
              <w:r>
                <w:rPr>
                  <w:rStyle w:val="InternetLink"/>
                  <w:rFonts w:ascii="Times New Roman;Times;Serif" w:hAnsi="Times New Roman;Times;Serif"/>
                  <w:sz w:val="20"/>
                </w:rPr>
                <w:t xml:space="preserve">Part I, Item 1 </w:t>
              </w:r>
            </w:hyperlink>
            <w:hyperlink w:anchor="tm2624937d1_ex99-2.htm">
              <w:r>
                <w:rPr>
                  <w:rStyle w:val="InternetLink"/>
                </w:rPr>
                <w:t xml:space="preserve">– </w:t>
              </w:r>
            </w:hyperlink>
            <w:hyperlink w:anchor="tm2624937d1_ex99-2.htm">
              <w:r>
                <w:rPr>
                  <w:rStyle w:val="InternetLink"/>
                  <w:rFonts w:ascii="Times New Roman;Times;Serif" w:hAnsi="Times New Roman;Times;Serif"/>
                </w:rPr>
                <w:t>Business Updates</w:t>
              </w:r>
            </w:hyperlink>
          </w:p>
        </w:tc>
      </w:tr>
      <w:tr>
        <w:trPr/>
        <w:tc>
          <w:tcPr>
            <w:tcW w:w="140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69" w:type="dxa"/>
        <w:jc w:val="left"/>
        <w:tblInd w:w="0" w:type="dxa"/>
        <w:tblLayout w:type="fixed"/>
        <w:tblCellMar>
          <w:top w:w="0" w:type="dxa"/>
          <w:left w:w="0" w:type="dxa"/>
          <w:bottom w:w="0" w:type="dxa"/>
          <w:right w:w="0" w:type="dxa"/>
        </w:tblCellMar>
      </w:tblPr>
      <w:tblGrid>
        <w:gridCol w:w="2510"/>
        <w:gridCol w:w="374"/>
        <w:gridCol w:w="2285"/>
      </w:tblGrid>
      <w:tr>
        <w:trPr/>
        <w:tc>
          <w:tcPr>
            <w:tcW w:w="2510" w:type="dxa"/>
            <w:tcBorders/>
            <w:vAlign w:val="center"/>
          </w:tcPr>
          <w:p>
            <w:pPr>
              <w:pStyle w:val="TableContents"/>
              <w:bidi w:val="0"/>
              <w:spacing w:before="0" w:after="283"/>
              <w:jc w:val="left"/>
              <w:rPr/>
            </w:pPr>
            <w:r>
              <w:rPr/>
              <w:t> </w:t>
            </w:r>
          </w:p>
        </w:tc>
        <w:tc>
          <w:tcPr>
            <w:tcW w:w="26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YARROW BIOSCIENCE, INC.</w:t>
            </w:r>
          </w:p>
        </w:tc>
      </w:tr>
      <w:tr>
        <w:trPr/>
        <w:tc>
          <w:tcPr>
            <w:tcW w:w="251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10, 2026</w:t>
            </w:r>
          </w:p>
        </w:tc>
        <w:tc>
          <w:tcPr>
            <w:tcW w:w="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Rebecca Frey </w:t>
            </w:r>
          </w:p>
        </w:tc>
      </w:tr>
      <w:tr>
        <w:trPr/>
        <w:tc>
          <w:tcPr>
            <w:tcW w:w="251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Rebecca Frey </w:t>
            </w:r>
          </w:p>
        </w:tc>
      </w:tr>
      <w:tr>
        <w:trPr/>
        <w:tc>
          <w:tcPr>
            <w:tcW w:w="2510" w:type="dxa"/>
            <w:tcBorders/>
            <w:vAlign w:val="center"/>
          </w:tcPr>
          <w:p>
            <w:pPr>
              <w:pStyle w:val="TableContents"/>
              <w:bidi w:val="0"/>
              <w:spacing w:before="0" w:after="283"/>
              <w:jc w:val="left"/>
              <w:rPr/>
            </w:pPr>
            <w:r>
              <w:rPr/>
              <w:t> </w:t>
            </w:r>
          </w:p>
        </w:tc>
        <w:tc>
          <w:tcPr>
            <w:tcW w:w="374"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4937d1_ex99-1.htm"/>
      <w:bookmarkStart w:id="24" w:name="kstm2624937d1_ex991"/>
      <w:bookmarkEnd w:id="23"/>
      <w:bookmarkEnd w:id="24"/>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drawing>
          <wp:inline distT="0" distB="0" distL="0" distR="0">
            <wp:extent cx="14287500" cy="803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 Bringing life into balance Yarrow Bioscience Overview September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 Disclaimers The information contained in this presentation has been prepared by Yarrow Bioscience, Inc. and its affiliates (“Yarrow” or t he “Company”) and contains information pertaining to the business and operations of the Company. The information contained in this presentation: (a) is provided as of the date hereof, is subject to change without notice, and is based on publicly avail abl e information, internally developed data as well as third - party information from other sources; (b) does not purport to contain all the information that may be necessary or desirable to fully and accurately evaluate an investment in the Company; (c) is not to b e c onsidered as a recommendation by the Company that any person make an investment in the Company; and (d) is for information purposes only and shall not constitute an offer to buy, sell, issue or subscribe for, or the solicitation of an o ffe r to buy, sell or issue, or subscribe for any securities of the Company in any jurisdiction in which such offer, solicitation or sale would be unlawful. Where any opinion or belief is expressed in this presentation, it is based on certain assumptions and limitation s a nd is an expression of present opinion or belief only. The information contained herein does not constitute investment, legal , accounting, regulatory, taxation or other advice, and the information does not take into account your investment objectives o r l egal, accounting, regulatory, taxation or financial situation or particular needs. Investors must conduct their own investiga tio n of the investment opportunity and evaluate the risks of acquiring securities of the Company based solely upon such investor’s in dep endent examination and judgment as to the prospects of the Company as determined from information in the possession of such investor or obtained by such investor from the Company, including the merits and risks involved. Statements in this pres ent ation are made as of the date hereof unless stated otherwise herein, and neither the delivery of this presentation at any tim e, nor any sale of securities, shall under any circumstances create an implication that the information contained herein is corr ect as of any time subsequent to such date. The Company is under no obligation to update or keep current the information contained in this document. No representation or warranty, express or implied, is made as to, and no reliance should be place d o n, the fairness, accuracy, completeness or correctness of the information or opinions contained herein, and any reliance you place on them will be at your sole risk. The Company, its affiliates and advisors do not accept any liability whatsoever for any loss howsoever arising, directly or indirectly, from the use of this document or its contents. Forward - Looking Statements Certain information set forth in this presentation contains “forward - looking statements” within the meaning of applicable United States securities legislation, including for purposes of the safe harbor provisions under the Private Securities Litigation R ef orm Act of 1995, concerning Yarrow. Except for statements of historical fact, certain information contained herein constitutes fo rwa rd - looking statements which include but are not limited to statements regarding: our business strategy, including the development and commercialization of YB - 101 for Graves’ Disease and thyroid eye disease; the efficacy, safety profile, dosing re gime, convenience, and tolerability of YB - 101; Yarrow’s ongoing and future clinical development activities, including the expected timing of clinical trials and data readouts; the expected effects, perceived benefits or opportunities of the merger wi th VYNE Therapeutics Inc. (“VYNE”); expectations regarding the ownership structure of the combined company; estimated market sizes, potential growth opportunities, and potential value creation; the achievement of development, regulatory, manuf act uring and sales - based milestones under the GenSci license agreement and any associated milestone payments and the length of time that the Company believes its existing cash resources will fund its operations. Forward - looking statements can of ten be identified by the use of words such as “may,” “will,” “could,” “would,” “anticipate,” “believe,” “expect,” “intend,” “potential,” “estimate,” “plan,” “goal” and similar expressions or the negatives thereof. Forward - looking statements are neither historical facts nor assurances of future performance. Forward - looking statements are based on a number of factors and assumptions made by management and considered reasonable at the time such information is provided, and involve known and unkn own risks, uncertainties and other factors that may cause the actual results, performance or achievements to be materially different from those expressed or implied by the forward - looking statements, including: risks related to the ability to correctly estimate operating expenses; the ability to obtain, maintain and protect intellectual property rights; the abili ty to advance product candidates under anticipated timelines; regulatory requirements or developments; competitive responses; the i mpl ementation of changes in law or government policy; the expected or potential impact of macroeconomic conditions; and those uncertainties and factors described under the heading “Risk Factors” in VYNE’s most recent Annual Report on Form 10 - K, the Registration Statement on Form S - 4 filed with the SEC most recently on June 3, 2026 and subsequent SEC filings. All forward - looking statements are qualified by these cautionary statements. The Company undertakes no obligation to update forward - looking statements if circumstances or management’s estimates or opinions should change except as required by applicable securities laws. The reader is cautioned not to place undue reliance on forward - looking statements. Market and Industry Data Certain information contained in this presentation relates to or is based on studies, publications and other data obtained fr om third - party sources as well as our own internal estimates and research. While we believe these third - party sources to be reliabl e as of the date of this presentation, we have not independently verified, and make no representation as to the adequacy, fairn ess , accuracy or completeness of, any information obtained from third - party sources. Forecasts and other forward - looking information obtained from these sources are subject to the same qualifications and uncertainties as the other forward - looking st atements in this presentation. Statements as to our market and competitive position are based on market data currently available to us, as well as management’s internal analyses and assumptions, which involve certain estimates. These internal a nal yses have not been verified by any independent sources and there can be no assurance that the assumptions or estimates are accurate. While we are not aware of any misstatements regarding our industry data presented herein, our estimates involve ri sks and uncertainties and are subject to change based on various factors. This presentation concerns drug candidates that are under clinical investigation and which have not yet been approved by the U.S. Food and Drug Administration. No representa tio n is made as to their safety or effectiveness for the purposes for which they are being investigated.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3 Yarrow Bioscience is seeking to bring life into balance for patients suffering with Graves’ Disease and TED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4 Yarrow is advancing YB - 101, a potential first - in - class anti - TSHR antibody, to redefine the treatment of Graves’ Disease and TED Yarrow in - licensed exclusive rights to YB - 101 for the treatment of GD and TED outside of greater China from Changchun GeneScience Pharmaceutical Company, Ltd. ( GenSci ) in December 2025 Sources: VYNE’s SEC filings for additional information, including the Registration Statement on Form S - 4 that VYNE filed in conn ection with the transaction; Furmaniak 2022 TSHR = thyrotropin receptor; TED= thyroid eye disease; GD= Graves’ disease; MOA=mechanism of action; SOC=standard of care; SC =su bcutaneous; SAD=single ascending dose Yarrow : Aspiring to be a new leader in thyroid autoimmune disease • Founded in 2025 with the singular focus of developing novel therapies to treat thyroid autoimmune diseases • Closed reverse merger with VYNE Therapeutics in July 2026; NASDAQ: YARW • Launching as clinical - stage company with ongoing Phase 2 trial in Graves' disease YB - 101 has the potential to win in multiple ways across large GD and TED market opportunities • MOA : Potential first - in - class anti - TSHR antibody designed to directly and rapidly disrupt the central mechanism of GD and TED, offering one solution for both diseases • Clinical impact : Rapid and specific TSHR blockade with potential for improved clinical activity and safety vs. current SOC • Convenience : SC formulation targeting Q8W dosing, a meaningfully lower treatment burden vs. emerging biologics Yarrow is advancing the first anti - TSHR therapy into Phase 2 in GD; supported by industry leading healthcare investors • Pharmacodynamic activity consistent with anti - TSHR mechanism observed in GenSci’s Phase 1 SAD in TED • Combined Phase 2a/2b GD trial initiated in Q2 ’26 with Phase 2a readout anticipated in 2H ’27 • Fast Track Designation received from FDA for GD program • Partner, GenSci , conducting ongoing Phase 1 studies with YB - 101 in both GD and TED in China • $200M raised to date from premier syndicate of investors; Cash runway expected to fund operations into 2028</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5 TSHR: the site of action in GD and TED Sources: Furmaniak 2022, Hoermann 2009 GD=Graves’ disease; TED=thyroid eye disease; TSHR= thyrotropin receptor; RAI= radioactive iodine; ATD=anti - thyroid drug Directly disrupts the disease process x TSHR is the site of antibody attack in the thyroid and orbital tissue x Blocking TSHR can be effective against polyclonal autoantibodies x Potential for improved safety/tolerability with no serious on - target toxicities Protects thyroid tissue x Preserves thyroid tissue and function x Potential to provide the speed and predictability of surgery/RAI with the reversibility of ATD x May permit natural recovery of the thyroid gland by stopping autoantibody attack x Pathophysiology of both diseases converges at TSHR x TSHR blockade designed to address both thyroidal and extra - thyroidal clinical manifestations of GD Ideal target for both diseases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6 Our opportunity with YB - 101 is to generate clinical data across both indications, leveraging collaboration with GenSci Yarrow in - licensed exclusive rights to YB - 101 for the treatment of GD and TED outside of greater China from Changchun GeneScienc e Pharmaceutical Company, Ltd. (GenSci) in December 2025 GD=Graves’ disease; TED=thyroid eye disease; POC=proof of concept; SAD=single ascending dose; MAD=multiple ascending dose Graves’ Disease 2026 2027 2028 GD Ph 2a/2b initiated Q2 2026 GD SAD i nitiated (China) Ph 1 TED MAD (China) ongoing GD Ph 2a POC data 2H 2027 GD SAD data (China) TED MAD topline data (China) 2H 2027 Potential to initiate TED Ph 2 Initiate Ph 2b portion of GD trial 1H 2028 Initiate TED Ph 2/3 (China) GenSci Yarrow Thyroid Eye Disease YB - 101 Anticipated Milestones • Accelerating to Phase 2 in GD in the US based on China Phase 1 data • Leveraging ongoing GenSci TED development to enable future global TED development after TED POC in China • Capital efficient approach maximizes the value creation opportunities in front of us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7 Experienced leadership team and board with strong track record of value creation Rebecca V. Frey, PharmD | President and CEO Lori Payton, PhD | Chief Development Officer Tyler Zeronda | Chief Financial Officer Rachael Alford, PhD | Chief Operating Officer Steve Ryder, MD | Chief Medical Officer Board of Directors • Bill Lundberg, MD, Board Chair | Former CEO, Merus • Mona Ashiya, PhD | General Partner, OrbiMed Advisors • Bill White | CFO, Avere; Former CFO, Akero • Steve Hoerter | CEO, MBX; Former CEO, Deciphera • Peter Silverman, JD | Former COO and GC, Merus • Rebecca V. Frey, PharmD | President and CEO, Yarrow</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Significant unmet needs exist in current management of Graves’ Disease and TED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9 GD and TED are poorly treated diseases with significant morbidity and mortality risk Sources: 1. Grixti 2023; 2. Brandt 2013; 3. Chin 2020; 4. Boutzios 2014; 5. Kostopoulos 2024; 6. Okosieme 2019 CV=cardiovascular; GD=Graves’ disease; TED=thyroid eye disease; TSH=thyroid stimulating hormone; AF=atrial fibrillation; FT4= fre e thyroxine; FT3=free triiodothyronine • Lifetime risk of ~3% in women and ~0.5% in men 1 • Diagnosis confirmed by suppressed TSH, high/normal FT4/FT3, autoantibody positivity • Long - term morbidity driven by sustained hyperthyroidism and autoimmune sequelae 2 o 40% develop thyroid eye disease (TED) 3 o Elevated risk of thyroid cancer 4 o ~10% develop atrial fibrillation 5 o Twice the risk of having a major CV event 6 o 23% increase in all - cause mortality 6 Graves’ Disease : TSHR - stimulating autoantibodies drive hyperthyroidism Goiter thyroid storm, thyroid cancer Bulging, swollen eyes, orbital pain, visual disturbances (TED) Fast, irregular heartbeats, atrial fibrillation (AF), congestive heart failure, pulmonary hypertension Tremor, muscle weakness Sleep disturbance, anxiety, mood alterations Weight loss, diarrhea Irregular menstruation, pregnancy complications, fetal thyroid disease Heat intolerance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10 Radioactive iodine Radiation exposure, exacerbates TED, and possible risk of cancer Current GD and TED treatments remain inadequate Sources: Yarrow market research, Lupo 2025; Sjolin 2019; Davies 2020; Momo 2026; Traisk 2009; Abraham 2010; Brito 2020; Methimazole Tablets, USP, Prescribing Information; Propylthiouracil Tablets, USP, Prescribing Information; TEPEZZA® (teprotumumab - trbw ) Prescribing Information. GD=Graves’ disease; TED=thyroid eye disease; IGF1R=insulin - like growth factor 1 receptor; IV=intravenous Methimazole, Propylthiouracil Risk of skin rash, nausea/vomiting, hepatitis, agranulocytosis, vasculitis, aplastic anemia, thrombocytopenia Side effects negatively impact compliance 25% of patients not controlled after one year Thyroidectomy Vocal cord damage. Parathyroid dysfunction. Surgical risk No drugs available for second line IGF - 1R antibody (IV) Tepezza ® Hearing impairment (12% in Phase 3, up to 82% real - world), infusion reactions, hyperglycemia (10%) &gt;40% relapse after treatment Need for safer drugs for second line Anti - thyroid drugs FIRST - LINE SECOND - LINE Graves’ Disease Thyroid Eye Disease Immunosuppression, liver abnormalities, infections, hypertension FIRST - LINE SECOND - LINE Need safer and more effective drugs for first line Need safer and more effective drugs for first line Ablative treatments Corticosteroids Biologic treatment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11 Emerging regulatory focus on ATD withdrawal endpoints creates a clear opportunity for anti - TSHR as a new standard of care with improved risk/benefit ATDs are suboptimal as first - line treatment for GD, and are not effective for TED Sources: Ross 2016; Otsuka 2012; Sjolin 2019; Abraham 2010; Yarrow market research. ATD=anti - thyroid drug; GD=Graves’ disease; TED=thyroid eye disease; TSHR= thyrotropin receptor Efficacy limitations Safety / tolerability risks Noncompliance 50% 50% Remission rate after 12 — 18 months Relapse after discontinuation 23% Proportion of newly diagnosed cases that progress to radioactive iodine therapy or surgery Safety/ tolerability concerns require monitoring and drive treatment discontinuation Up to 24% incidence of cutaneous reactions Adherence challenges limit ATD treatment effectiveness – potentially driven by: Suboptimal efficacy Side effects Chronicity Frequent blood tests Rare but serious related adverse events: Agranulocytosis Hepatotoxicity Vasculitis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Yarrow’s potential first - in - class anti - TSHR offers a highly differentiated approach to treat GD and TED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13 YB - 101 is a potent anti - TSHR antibody with the potential to redefine the treatment of GD and TED Multiple ways to win in both indications IgG4 Composition - of - matter coverage through 2043; method - of - treatment patents through 2045; formulation patents through 2046 Phase 2 clinical asset with first - in - class potential Directly disrupts central mechanism of both GD and TED Potential for rapid onset and improved efficacy &amp; safety/tolerability vs. current treatments Convenient SC delivery with lower treatment burden vs. other emerging biologics YB - 101 POTENTIAL KEY VALUE DRIVERS Intellectual property in - licensed from GenSci TSHR=thyrotropin receptor; GD=Graves’ disease; TED=thyroid eye disease; SC=subcutaneous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14 Pathophysiology of GD and TED converges at TSHR Thyroid cell Orbital fibroblast Stimulating autoantibodies (TRAb/TSI) TSHR Thyroid hormone over - production and TSH suppression P roduction of cytokines &amp; hyaluronic acid Differentiation into adipocytes and myofibroblasts Intracellular Extracellular IGF1 - R TSHR • Autoantibodies attack and overstimulate TSHR • Autoantibodies are diverse but all bind to the same TSHR • Autoantibody attack on TSHR leads to : • Increase in thyroid hormones (FT3, FT4) • Suppression of TSH • In TED – increased production of cytokines and hyaluronic acid, other inflammatory changes that drive TED GD and TED are polyclonal autoantibody - driven diseases Sources: Adapted from Davies 2020 and Lanzolla 2024 TRAb/TSI=thyroid receptor antibody/thyroid stimulating immunoglobulin; FT3=free triiodothyronine; FT4=free thyroxine; TSH=thy roi d stimulating hormone; IGF - 1R=insulin - like growth factor 1 receptor; GD=Graves' disease; TED=thyroid eye disease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15 YB - 101 is designed to directly disrupt the central mechanism of GD &amp; TED by blocking autoantibody attack on TSHR Sources: Adapted from Davies 2020 and Lanzolla 2024 TRAb/TSI=thyroid receptor antibody/thyroid stimulating immunoglobulin; FT3=free triiodothyronine; FT4=free thyroxine; TSH=th yro id stimulating hormone; IGF - 1R=insulin - like growth factor 1 receptor; TSHR= thyrotropin receptor; GD=Graves' disease; TED=thyroid eye disease Thyroid cell Orbital fibroblast Stimulating autoantibodies (TRAb/TSI) TSHR Inhibits thyroid hormone over - production and restores TSH Inhibits production of cytokines &amp; hyaluronic acid Inhibits d ifferentiation into adipocytes and myofibroblasts Intracellular Extracellular IGF1 - R TSHR YB - 101 Blocks autoantibody attack and over - stimulation Thyroid hormone normalization Improvement in TED pathophysiology • Designed to block autoantibody - induced TSHR activation to directly disrupt GD/TED disease process • Rapidly reversed hyperthyroidism as measured by FT3, FT4 and TSH • No known immunosuppression or tissue destruction • Reversible blockade YB - 101 is designed to directly disrupt the autoantibody attack</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16 GenSci Phase 1 SAD in TED: Study design and patient population Sources: GenSci data on file TED=thyroid eye disease; SC=subcutaneous; SRC=safety review committee; SAD= single ascending dose; MAD=multiple ascending dos e; CAS=clinical activity score • SAD evaluated safety and efficacy of five dose levels of YB - 101 vs. placebo in TED • Key inclusion criteria: active TED (CAS &gt;=3) • SC administration • Majority euthyroid at baseline • Patients were followed for 24 weeks after a single dose of YB - 101 Screening Dosing Follow - up D - 28 – D - 2 D - 1 W1 W25 N=8 (6:2) 15 mg 45 mg 90 mg 180 mg 270 mg N=8 (6:2) N=8 (6:2) N=8 (6:2) N=8 (6:2) 180 mg SRC meeting SRC approved advancement to 270 mg and initiation of MAD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17 ✓ No dose interruptions or study withdrawals due to AEs No deaths, no treatment - related SAEs All AEs mild or moderate in severity No severe adverse events reported across all cohorts No clinically meaningful hearing - related or hyperglycemia adverse events Hearing impairment and hyperglycemia are known risks associated with drugs targeting IGF - 1R for TED ✓ No clinically meaningful differences vs. placebo Vitals, physical exam, ophthalmologic safety assessments Based on interim, unblinded data from a limited Phase 1 SAD; conclusions are preliminary Sources: GenSci Phase 1 TED SAD interim unblinded data on file, as reported in VYNE/Yarrow S - 4 Registration Statement (2026) SAD=single ascending dose; GD=Graves' disease; MOA=mechanism of action; AE=adverse event; IGF - 1R=insulin - like growth factor 1 re ceptor; TED=thyroid eye disease; SAE=serious adverse event; IND=Investigational New Drug GenSci Phase 1 SAD: Favorable safety data of YB - 101 in patients with active TED ✓ ✓ ✓ Safety data from the TED SAD supported initiation of the TED MAD and filing of the GD IND with Yarrow’s Phase 2a/2b protocol</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18 GenSci Phase 1 SAD: A single dose of YB - 101 produced rapid, dose - dependent proof of mechanism and meaningful clinical responses in TED Sources: GenSci data on file, TEPEZZA® (teprotumumab - trbw) Prescribing Information and Douglas et al. (2020) (6 - week time - point) . No head - to - head trials have been conducted. Cross - program comparisons are limited by differences in trial design, patient popula tions, endpoints and dosing. ORR=overall response (a reduction ≥2 points in CAS + a reduction in proptosis ≥2 mm); SAD=single ascending dose; TED=thyroid eye disease; FT3= free triiodothyronine; FT4= free thyroxine; TSH= thyroid stimulating hormone; CAS=clinical activity score; PD=pharmacodynamic; PBO=placebo 66.7% 20% 0.0% 10.0% 20.0% 30.0% 40.0% 50.0% 60.0% 70.0% 80.0% YB-101 PBO Maximum improvement in proptosis 66.7% 10% 0.0% 10.0% 20.0% 30.0% 40.0% 50.0% 60.0% 70.0% 80.0% YB-101 PBO Maximum improvement in ORR FT3 and FT4 changes occurred rapidly: FT3/FT4 declines Starting on day 2 - 3 Nadir on day 11 - 15 TSH also increased: TSH rises Starting on day 3 - 5 Peak on day 15 - 22 • Rapid changes observed in FT3/FT4 and TSH • PD effects appeared dose - dependent • Potentially meaningful improvements in TED clinical endpoints • Single - dose responses with YB - 101 approached or exceeded multiple doses of TEPEZZA Rapidity of changes in FT3/FT4 represents potential new treatment paradigm as compared to ATDs and emerging biologics Improvements in proptosis and ORR observed after a single dose:</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19 YB - 101 has the potential to be highly differentiated from emerging biologics for GD and TED 1 Single case report from Biohaven, Ltd. Press Release, January 12, 2026; broader controlled data are not available. Attributes sh own for YB - 101 reflect (i) clinical observations from the GenSci Phase 1 SAD in TED (interim, unblinded data, small N), (ii) preclinical data, and (iii) properties expected based on the anti - TSHR mechanism of action. Attr ibutes characterized as “expected” or based on mechanism have not been demonstrated in adequately powered clinical studies. No head - to - head trials have been conducted. Cross - program comparisons are limited by differ ences in trial design, patient populations, endpoints and dosing. GD=Graves’ disease; TED=thyroid eye disease; IGF - 1R=insulin - like growth factor 1 receptor; SC=subcutaneous One potential solution for both diseases with a compelling target product profile YB - 101 (Anti - TSHR) Anti - IGF - 1R IgG degraders Anti - FcRn Specific against TSHR TBD Addresses GD and TED TBD 1 Rapid reversal of hyperthyroidism Infrequent SC dosing No immunosuppression No hearing impairment No hyperglycemia</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20 YB - 101 offers the lowest dosing burden for patients with GD among emerging biologics in development Sources: VYVGART® Hytrulo (efgartigimod alfa and hyaluronidase - qvfc) Prescribing Information, Clinicaltrials.gov NCT07018323, NC T06727604, NCT06980649. 1 Q 8W regimen is target only; subject to Phase 2 PK/PD and efficacy data GD=Graves’ disease; TSHR=thyrotropin receptor; SC=subcutaneous Convenient SC formulation with feasibility for pre - filled syringe and autoinjector IMVT - 1402 Anti - FcRn BHV - 1300 IgG degrader SC weekly SC weekly Phase 2b GD studies in progress Phase 1b GD study in progress Vyvgart Hytrulo ® Anti - FcRn Phase 3 GD study planned SC weekly YB - 101 Anti - TSHR Targeting SC administration every 8 weeks 1 Initiating Phase 2a/2b GD study PRODUCT STAGE NUMBER OF DOSES FOR PRIMARY ENDPOINT (6 MONTHS)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Yarrow is positioned for a unique value creation opportunity Pursuing rapid advancement of YB - 101 in GD with additional future upside in TED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22 The shift to targeted biologics in GD and TED is expected to create a substantial new market — with Yarrow well - positioned to lead Sources: Gerischer 2025, Argenx Q4 and Full year Financial results dated February 26, 2026 and Company estimate; Amgen Q4 and Full Year 2025 Financial Result s dated February 3, 2026. GD=Graves’ disease; TED=thyroid eye disease; TSHR=thyrotropin receptor Anti - TSHR mechanism offers highly differentiated biologic approach Yarrow has a first - mover opportunity Nonspecific symptom management Targeted biologic treatments New category representing a $2b+ US market RECENT ANALOG: Myasthenia Gravis Anti - thyroid drugs Targeted biologic treatments Substantially larger market as compared to TED OUR OPPORTUNITY: Graves’ Disease Steroids symptom management More targeted biologic treatments New category representing a $2b+ US market OUR OPPORTUNITY: Thyroid Eye Disease Room for substantial growth to be captured by a safer biologic</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23 Potential to build substantial new biologic market opportunity for GD Large addressable population for YB - 101 across GD and TED Sources: Davies 2020, Villagelin 2024, Lupo 2025, Chin 2020, Gillespie 2012; Amgen Q4 and Full Year 2025 Financial Results dated February 3, 2026. GD=Graves’ disease; TED=thyroid eye disease; ATD=anti - thyroid drug Strong market potential for incident patients plus ~1M prevalent patients with GD on ATDs New GD cases 20 - 40 per 100K persons per year 84% of GD patients are prescribed ATDs 75% remain on ATDs after 3 months ~34K - 68K eligible GD patients annually 40% of patients w/GD develop TED 20 - 30% develop moderate to severe TED ~11K - 22K eligible TED patients annually Current TEPEZZA market ~$2B annually Large Opportunity Across GD And TED</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24 Yarrow is advancing the first anti - TSHR therapy into Phase 2 in GD Sources: Yarrow data on file DMC=data monitoring committee; PBO=placebo; TSHR= thyrotropin receptor; ULN=upper limit of normal; ATD=anti - thyroid drug; GD=Gra ves’ disease; TED=thyroid eye disease; PK=pharmacokinetics; TFT= thyroid function test; CAS=clinical activity score YB - 101 Phase 2a/2b study design: Phase 2a (Part 1), US and Australia YB - 101 or PBO 180 mg Q8W YB - 101 or PBO 270 mg Q8W YB - 101 or PBO 400 mg Q8W YB - 101 or PBO 200 mg Q4W R 3:1 R 3:1 Parallel cohorts 1 &amp; 2 n=8 per cohort Parallel cohorts 3 &amp; 4 n=8 per cohort Initiate Part 2 24 weeks 24 weeks Key inclusion criteria : • Confirmed GD, w/ or w/o TED • FT3+FT4 normal; TSH &lt;ULN; thyroid autoantibodies &gt;ULN • Stable on ATD for &gt;=3 months Endpoints: • Primary: safety and efficacy (percent euthyroid and off ATD) • Additional, PK, TFT, ATD reduction/withdrawal • Proptosis and CAS in patients with concurrent TED Fast Track Designation received from FDA Top - line results from Phase 2a (Part 1) expected 2H 2027</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25 Yarrow GD Phase 2b expected to begin in 1H 2028 Sources: Yarrow data on file. GD=Graves’ disease; TED=thyroid eye disease; FT3= free triiodothyronine; FT4=free thyroxine; TSH=thyroid stimulating hormone; UL N=upper limit of normal; ATD=anti - thyroid drug; PK=pharmacokinetic; TFT=thyroid function test; CAS=clinical activity score Part 2/Phase 2b design and endpoints aligned with FDA YB - 101 Dose 1 n=50 YB - 101 Dose 2 n=50 R Placebo n=50 YB - 101 Dose 3 n=50 24 weeks Long - term Extension Key inclusion criteria : • Confirmed GD, w/ or w/o TED • FT3+FT4 normal; TSH &lt;ULN; thyroid autoantibodies &gt;ULN • Stable on ATD for &gt;=3 mon Primary Objective: • Statistically powered efficacy readout at 24 weeks, N=200 Endpoints • Primary efficacy: Percent euthyroid and off ATD • Additional: Safety, PK, TFT, ATD reduction/withdrawal • Proptosis and CAS in patients with concurrent TED Doses for Part 2 and extension to be informed by data generated in Part 1</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26 Yarrow is positioned to capture additional upside potential in TED Sources: GenSci data on file, TEPEZZA® (teprotumumab - trbw) Prescribing Information. TED=thyroid eye disease; MAD=multi ascending dose; CAS=clinical activity score; SC=subcutaneous; TSHR= thyrotropin receptor; IGF 1R= insulin - like growth factor 1 receptor Leveraging collaboration with GenSci for maximum efficiency 90 mg x 3 180 mg x 3 270 mg x 3 N=12 (5:1) per cohort YB - 101 TED MAD (China) Study Design YB - 101 or placebo dosing Follow - up W1 W41 W9 W17 R • GenSci is conducting a randomized, double - blinded, placebo - controlled MAD in China • Study is evaluating safety and efficacy of three dose levels of YB - 101 vs. placebo in TED – Key inclusion criteria: active TED (CAS &gt;=3) – SC administration Q8 weeks x 3 doses • TED development options to be informed by GenSci MAD data expected when study completes in 2H 2027 • GenSci plans to pursue future TED registration in China YB - 101’s distinct anti - TSHR mechanism may enable meaningful differentiation from IGF - 1R, which has been biologically linked to hearing loss and hyperglycemia</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27 $ 200M raised enables multiple potential clinical catalysts and cash runway into 2028 $200M raised includes $100M from Yarrow Pre - Closing Financing. Sources: VYNE’s SEC filings including VYNE/Yarrow S - 4 Registration Statement (2026) GD=Graves’ disease; TED=thyroid eye disease; MAD=multiple ascending dose; SAD=single ascending dose Leveraging GenSci collaboration for efficient value creation across indications Founding investor Graves’ Disease 2026 2027 2028 GD Ph 2a/2b initiated Q2 2026 GD SAD initiated (China) Ph 1 TED MAD (China) ongoing GD Ph 2a POC data 2H 2027 GD SAD data (China) TED MAD topline data (China) 2H 2027 Potential to initiate TED Ph 2 Initiate Ph 2b portion of GD trial 1H 2028 Initiate TED Ph 2/3 (China) GenSci Yarrow Thyroid Eye Disease YB - 101 Anticipated Milestones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6858000" cy="385889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858000" cy="3858895"/>
                    </a:xfrm>
                    <a:prstGeom prst="rect">
                      <a:avLst/>
                    </a:prstGeom>
                  </pic:spPr>
                </pic:pic>
              </a:graphicData>
            </a:graphic>
          </wp:inline>
        </w:drawing>
      </w:r>
    </w:p>
    <w:p>
      <w:pPr>
        <w:pStyle w:val="TextBody"/>
        <w:bidi w:val="0"/>
        <w:jc w:val="left"/>
        <w:rPr>
          <w:color w:val="FFFFFF"/>
          <w:sz w:val="2"/>
        </w:rPr>
      </w:pPr>
      <w:r>
        <w:rPr>
          <w:color w:val="FFFFFF"/>
          <w:sz w:val="2"/>
        </w:rPr>
        <w:t>28 Note: Cash and cash equivalent balance of $108.8M as of August 31, 2026 is preliminary, unaudited and is subject to change. Nu mber of shares are as of August 10, 2026 on an as - converted basis and following the 1 - for - 50 reverse stock split effected in connection with the merger. The post - split fully - diluted share count including equity incenti ves such as employee stock options is approximately 30.8 million shares and up to 33.6 million shares including shares available under equity plans. Refer to VYNE and YARW SEC filings for additional information. Common stock Common stock equivalents Common stock &amp; common stock equivalents Number of Shares Shares outstanding 2,669,746 Pre - funded warrants 25,914,547 Total outstanding 28,584,293 Capitalization following closing of merger with VYNE Cash balance of ~$108.8M as of August 31, 2026</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29 Yarrow in - licensed exclusive rights to YB - 101 for the treatment of GD and TED outside of greater China from Changchun GeneScience Pharmaceutical Company, Ltd. ( GenSci ) in December 2025. Refer to VYNE and YARW SEC filings for additional information. GD=Graves’ disease; TED=thyroid eye disease Yarrow Territory / rights Upfront Milestones Worldwide, excluding Greater China for all fields of use, including the treatment of GD and TED GenSci received $70M YB - 101 license: financial terms summary Royalties Development, regulatory, manufacturing and sales - based milestones payable up to $1.295B Inclusive of: Development: up to $100M (including $50M near - term) Regulatory: up to $150M Tiered low teens to low - mid teen royalties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drawing>
          <wp:inline distT="0" distB="0" distL="0" distR="0">
            <wp:extent cx="14287500" cy="80391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4287500" cy="8039100"/>
                    </a:xfrm>
                    <a:prstGeom prst="rect">
                      <a:avLst/>
                    </a:prstGeom>
                  </pic:spPr>
                </pic:pic>
              </a:graphicData>
            </a:graphic>
          </wp:inline>
        </w:drawing>
      </w:r>
    </w:p>
    <w:p>
      <w:pPr>
        <w:pStyle w:val="TextBody"/>
        <w:bidi w:val="0"/>
        <w:jc w:val="left"/>
        <w:rPr>
          <w:color w:val="FFFFFF"/>
          <w:sz w:val="2"/>
        </w:rPr>
      </w:pPr>
      <w:r>
        <w:rPr>
          <w:color w:val="FFFFFF"/>
          <w:sz w:val="2"/>
        </w:rPr>
        <w:t>30 yarrowbioscience.com Thank you</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jc w:val="left"/>
        <w:rPr/>
      </w:pPr>
      <w:bookmarkStart w:id="25" w:name="tm2624937d1_ex99-2.htm"/>
      <w:bookmarkStart w:id="26" w:name="kstm2624937d1_ex992"/>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ITEM 1.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Bioscience, Inc. (“Yarrow”) is a clinical-stage biotechnology company focused on developing transformative therapies for autoimmune thyroid diseases. Yarrow’s lead product candidate, YB-101 (also known as GenSci098), is a humanized, monoclonal antibody targeting the thyroid-stimulating hormone receptor (“TSHR”), which Yarrow plans to develop for the treatment of Graves’ disease (“GD”) and thyroid eye disease (“TED”). Both GD and TED are serious and poorly treated autoimmune diseases in which autoantibodies against TSHR attack and overstimulate the receptor, leading to a wide spectrum of thyroidal and extra-thyroidal clinical sequelae.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YB-101 was designed to selectively bind to TSHR and block autoantibody-induced receptor activation, thereby directly inhibiting the pathogenic activity of thyroid-stimulating autoantibodies that drive disease progression in GD and TED as well as the biological pathway responsible for hyperthyroidism and orbitopathy. Yarrow believes that this novel and targeted approach represents a potential breakthrough for patients with GD and TED and has the potential to address an important unmet need for therapies with differentiated risk-benefit profiles.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YB-101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Yarrow in-licensed from Changchun Genescience Pharmaceutical Company, Ltd. (“GenSci”) the exclusive rights to develop YB-101 for the treatment of GD and TED outside of China. Yarrow’s development strategy is to advance YB-101 in GD and explore a clinical development plan for TED with the goal of becoming the first company to commercialize an anti-TSHR antibody in the United States and other territories outside of China. YB-101 is currently being evaluated by GenSci in an ongoing Phase 1 single ascending dose (“SAD”) and multiple ascending dose (“MAD”) trial in patients with TED in China. Yarrow submitted the GenSci SAD clinical data to the U.S. Food and Drug Administration (“FDA”) as part of a new IND to support the initiation of a GD trial by Yarrow in the United States, which was cleared by the FDA in March 2026. Yarrow also submitted an application for Fast Track designation for YB-101 in GD to the FDA in March 2026 and received notice of Fast Track designation from the FDA on May 20, 2026. In addition, third-party clinical data from two SAD trials of another anti-TSHR antibody, K1-70, further support the therapeutic potential of targeting TSHR in patients with GD and TED. In June 2026, Yarrow initiated a combined Phase 2a/Phase 2b trial of YB-101 in patients with GD, with or without concurrent TED. Data from the Phase 2a portion of the trial are expected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Graves’ disease and thyroid eye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GD and TED are chronic in nature, although they can exhibit a relapsing-remitting pattern. GD typically presents in middle age and affects women more frequently than men. GD is characterized by both local thyroid effects and extra-thyroidal effects. There have been no new drugs approved for GD in the United States since 1950. Initial treatment for GD typically consists of oral anti-thyroid drugs (“ATDs”), which are associated with significant side effects (including, but not limited to, agranulocytosis, hepatotoxicity, aplastic anemia, thrombocytopenia, and vasculitis) and are not effective or tolerated in all patients. The second-line treatment for GD consists of either radioactive iodine treatment or thyroidectomy, both of which result in permanent loss of thyroid function. As a result, considering the significant toxicities associated with ATDs and the permanent loss of thyroid function associated with ablative second-line treatments, there is a significant need for a targeted therapeutic treatment that can safely and effectively treat GD while preserving the thyroid.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is a serious, chronic and debilitating condition that represents an extra-thyroidal manifestation of GD. TED is characterized by inflammation within the orbit of the eye, which may result in proptosis (eye bulging), pain, redness, swelling, diplopia (double vision), and, in severe cases, vision loss. Current treatment options for TED are limited. Initial therapy often includes systemic glucocorticoids, which may provide temporary benefit but are associated with significant side effects and relapse risk. Only one class of therapies, IGF-1R inhibitors, has been approved for TED in recent years — TEPEZZA® (teprotumumab-trbw) and LUMVOA™ (veligrotug-vvze) — both of which are also associated with certain safety risks, including those related to hyperglycemia and hearing impairment including hearing loss. As a result, there remains a significant unmet medical need for targeted therapies that can effectively treat TED with an improved safety and tolerability profile compared to the current standard of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estimates that the initial U.S. addressable population for YB-101 consists of both newly diagnosed GD patients who have received ATD therapy for at least three months and existing GD patients currently maintained on ATDs. GD affects nearly 1% of the U.S. population, with annual incidence estimated at approximately 20 to 40 cases per 100,000 persons. Published U.S. treatment-pattern data indicate that ATDs are the most common first-line therapy. Assuming patients become eligible after three months of ATD therapy within the standard 12-to-18-month treatment period, Yarrow estimates an annual incident eligible population of approximately 34,000 to 68,000 patients and a prevalent eligible population of approximately 1,000,000 patients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Prescription data indicate that approximately 1.3 million prescriptions for methimazole, the most commonly used ATD, are written annually in the United States, further illustrating the size of the treated population. In addition, U.S. studies suggest that approximately up to 30% of patients with GD progress to ablative therapies, such as radioactive iodine treatment or surgery, following first-line ATD treatment, and such patients may represent an additional population that could be treated with YB-101 as an alternative to receiving ablative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also be additional opportunity in patients with moderate-to-severe active TED. Moderate-to-severe active TED is estimated to have an annual incidence of approximately 4 to 8 cases per 100,000 persons, corresponding to approximately 11,000 to 22,000 new cases per year in the United States. Among moderate-to-severe TED patients who are treated with TEPEZZA® (teprotumumab-trbw), approximately 40% experience relapse, underscoring that this population has a significant unmet need for new treatment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believes YB-101, as an anti-TSHR antibody treatment, has the potential to be a safer, more targeted and more convenient treatment option for patients suffering from GD and TED, compared to existing and investigational therapies, and may allow patients to achieve rapid disease control without requiring ablative treatments that result in permanent loss of thyroid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Yarrow’s history and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was founded in October 2025 and is backed by leading healthcare investor RTW Investments, LP. (“RTW”). To support Yarrow’s development strategy, Yarrow has assembled a deeply experienced management team which has collectively advanced multiple biotherapeutic products through clinical development and successful global regulatory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goal is to develop a potential first-in-class anti-TSHR antibody for the treatment of GD and TED in the United States and other territories outside of China. Yarrow’s strategy to achieve this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Rapidly advance YB-101 into clinical development for GD outside of China.   </w:t>
            </w:r>
            <w:r>
              <w:rPr/>
              <w:t>TSHR is a validated biological target for GD. Yarrow’s anti-TSHR antibody, YB-101, represents an opportunity to bring a TSHR-targeted biologic treatment for GD to market. Yarrow plans to conduct multiple clinical trials of YB-101 to evaluate the safety and efficacy of YB-101 in patients with GD outside of China and has received GD IND clearance from the FDA in March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Pursue the fastest pathway to registration in GD.   </w:t>
            </w:r>
            <w:r>
              <w:rPr/>
              <w:t>The available body of clinical data of YB-101 supports initiation by Yarrow of a Phase 2 clinical trial in GD outside of China. In March 2026, Yarrow received IND clearance from the FDA to initiate a Phase 2 trial in GD in the United States and in June 2026, Yarrow initiated a Phase 2a/Phase 2b trial of YB-101 in patients with GD. This trial is a combined two-part Phase 2a (Part 1) and Phase 2b dose-range-finding (Part 2) clinical trial of YB-101 versus placebo in adult patients with GD who are well-controlled with ATDs. Patients will be required to have normal free triiodothyronine (“FT3”) and free thyroxine (“FT4”) levels at screening and may have either normal or suppressed thyroid-stimulating hormone (“TSH”) levels at screening. In the Phase 2a portion of the trial, multiple doses of YB-101 versus placebo will be evaluated in four cohorts of eight patients each. Part 1 will evaluate the safety, pharmacokinetics (“PK”), pharmacodynamics (“PD”) and efficacy of multiple YB-101 dosing regimens in order to select dose regimens for the Phase 2b portion. Patients enrolled in the Phase 2b portion of the trial will enroll in an open-label extension, which will collect longer-term safety and efficacy data of YB-101. Yarrow also submitted an application for Fast Track designation for YB-101 in GD to the FDA in March 2026 and received notice of Fast Track designation from the FDA on May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283"/>
              <w:jc w:val="left"/>
              <w:rPr/>
            </w:pPr>
            <w:r>
              <w:rPr/>
              <w:t> </w:t>
            </w:r>
          </w:p>
        </w:tc>
        <w:tc>
          <w:tcPr>
            <w:tcW w:w="10145" w:type="dxa"/>
            <w:tcBorders/>
            <w:vAlign w:val="center"/>
          </w:tcPr>
          <w:p>
            <w:pPr>
              <w:pStyle w:val="TableContents"/>
              <w:bidi w:val="0"/>
              <w:spacing w:before="0" w:after="283"/>
              <w:jc w:val="left"/>
              <w:rPr/>
            </w:pPr>
            <w:r>
              <w:rPr/>
              <w:t>These approaches are intended to shorten the time to registration by leveraging streamlined development strategies and regulatory flexibility programs for investigational products that address significant unmet medical needs. It is important to note that Fast Track designation does not guarantee a faster development process, review or approval as compared to the conventional FDA approval process. Following Phase 2 development, Yarrow expects to work closely with regulators in the United States and other territories outside of China to determine the most expeditious pathway to registration for YB-101.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Leverage ongoing YB-101 development in TED in China.</w:t>
            </w:r>
            <w:r>
              <w:rPr/>
              <w:t>   Yarrow’s licensing partner GenSci is currently conducting a Phase 1 SAD and MAD trial of YB-101 versus placebo in adult patients with active TED in China. Patients enrolled in this trial have underlying GD with moderate to severe active TED. Yarrow has submitted clinical data from the SAD portion of this trial to the FDA as part of the IND submission to initiate a GD trial in the United States. In March 2026, Yarrow received IND clearance from the FDA to initiate a Phase 2a/2b GD trial. After complete and unblinded MAD data are available from the TED trial, Yarrow intends to explore a clinical development plan for YB-101 in patients with active TED outside of China; however, there can be no assurance that the clinical data being generated by GenSci in China will be accepted by the FDA or comparable foreign regulatory authorities for purposes of supporting regulatory approval of YB-101 for TED outside of China. If such data are not accepted, Yarrow may be required to conduct one or more additional clinical trials prior to seeking regulatory approval, which would result in additional costs and delays.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Build a deeply experienced team of clinical drug developers.</w:t>
            </w:r>
            <w:r>
              <w:rPr/>
              <w:t>   Yarrow has recruited and plans to continue to recruit seasoned executives and managers who have proven track records in successfully developing novel biologic drugs for immune diseases across the globe.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YB-101, a product candidate for the treatment of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GD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 is a chronic autoimmune disease in which antibodies target TSHR, a receptor expressed in the thyroid as well as in other cells, including adipocytes and fibroblasts. GD affects approximately one percent of the U.S. population. GD typically presents in middle age, affects women more frequently than men, and may follow a relapsing-remitting disease course. It is possible, although less common, to diagnose GD in children, adolescents or older adults.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GD is characterized by both local thyroid effects and extra-thyroidal effects. Local thyroidal effects may include diffuse thyroid enlargement (goiter) and increased vascularity of the thyroid, while extra-thyroidal manifestations may include eye involvement and a wide range of both immune-mediated and hormone-mediated effects. These include tremor, anxiety, gastrointestinal changes, reproductive function disturbances, TED, atrial fibrillation (due to excess thyroid hormone effects on cardiac tissue), hyperhidrosis, osteopenia and dermopathy. Patients with GD also face an increased risk of thyroid cancer and increased all-cause mortality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treatment options for GD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treatment for GD typically consists of oral ATDs, which are associated with significant side effects (including, but not limited to, agranulocytosis, hepatotoxicity, aplastic anemia, thrombocytopenia, and vasculitis) and are not effective or tolerated in all patients. Patients who cannot be adequately treated with ATDs have no other approved pharmacologic alternatives. The second-line treatment for GD consists of either radioactive iodine treatment or thyroidectomy, both of which result in permanent loss of thyroid function. Considering the limited treatment options and their associated risks, there is a significant need for a targeted therapeutic treatment that can safely and effectively treat GD while preserving the thyroid.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GD therapies in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clinical trials of product candidates for the treatment of GD, outcome measures include thyroid hormone levels as well as utilization of ATDs. Specifically, levels of FT3, FT4 and TSH are measured and considered to be relevant biomarkers for GD. In patients who have hyperthyroidism due to GD, FT3 and FT4 are typically elevated (above normal range or high normal range), while TSH is typically suppressed (below lower limit of normal). Normalization of all three biomarkers is classified as achieving euthyroid status, which can be evaluated as a composite endpoint. Reduction or discontinuation of ATDs can be another measure of efficacy either alone or included in a composite endpoint, along with euthyroid status. The incidence of TED and the time to onset of TED may also be evaluated as an exploratory endpoint in patients with GD.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TED 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is a serious, chronic and debilitating condition that represents an extra-thyroidal manifestation of GD. TED is characterized by inflammation within the orbit of the eye, which may result in proptosis (eye bulging), pain, redness, swelling, diplopia (double vision), and, in severe cases, vision loss. Studies indicate that approximately forty percent or more of patients with GD develop TED during the course of their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may follow a relapsing-remitting course and can cause substantial functional impairment and reduced quality of life. Patients with poorly controlled GD, elevated thyroid autoantibody levels, or a history of smoking are at increased risk of developing TED and of experiencing more severe disease manifestations. TED can be characterized as either active or chronic. In the active phase, patients experience significant inflammation in the orbital area. Active TED can persist for months to years. In the chronic phase, patients progress to a fibrotic state, which is caused by persistent inflammation and associated fibrotic changes in the orbital tissue. Fibrosis can cause the eye tissue to become stiff, and patients can experience more problematic lid retraction. Patients with chronic TED may require surgical intervention.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Current treatment options for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treatment options for TED are limited. Initial therapy often includes systemic glucocorticoids, which may provide temporary benefit but are associated with significant side effects and relapse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TEPEZZA®, a humanized monoclonal antibody targeting IGF-1R, is approved in the United States for the treatment of TED and has demonstrated clinical efficacy; however, its use is associated with potentially serious adverse effects, including hearing impairment, hearing loss and hyperglycemia, which may lead to treatment discontinuation. LUMVOA™ (veligrotug-vvze) was approved by the FDA for the treatment of TED in June 2026. There are other third-party product candidates in development for the treatment of TED. In addition, radioactive iodine therapy, a second-line treatment for GD, is generally contraindicated in patients with TED due to the risk of disease exacerbation. As a result, there remains a significant unmet medical need for targeted therapies that can effectively treat TED with an improved safety and tolerability profile compared to the current standard of care.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TED in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 TED measure validated outcomes specifically associated with the manifestations of TED in the eye, mainly proptosis and clinical activity score (“CAS”). Proptosis is the degree of eye bulging and is measured by a trained ophthalmologist using a standardized measurement tool and method (exophthalmometry) or calculated using orbital magnetic resonance imaging. CAS measures orbital inflammation using a point scale across seven clinical signs of inflammation (orbital pain, pain with eye movement, eyelid erythema, conjunctival redness, eyelid swelling, conjunctival edema and inflammation of caruncle) with each item scored as 0 or 1 point. A CAS score of less than three is considered less active disease whereas a CAS score of three or greater is considered active disease. Changes in proptosis and CAS over time can be used to assess efficacy of a therapeutic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TSHR as an emerging target for the treatment of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believes that TSHR is an optimal target for the treatment of GD and TED given that TSHR is the single common target of all autoantibodies in GD and TED. TSHR is a membrane-associated G-protein-coupled receptor expressed in high levels on thyroid follicular cells and low levels on orbital fibroblasts, dermal fibroblasts and adipose tissue. TSHR possesses a large extracellular domain which binds its natural ligand, TSH as well as autoantibodies (Figure 1) and exogenous antibodies such as YB-101 (Figure 2). Normal binding of TSH at TSHR promotes thyroid hormone synthesis, namely, T3 (an active thyroid hormone) and T4 (a precursor thyroid hormone that is converted to T3), as well as stimulating production of thyroglobulin and thyroid peroxidase.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200400" cy="199326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200400" cy="199326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1. Autoantibody over-stimulation of TSHR in tissues affected by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context of autoantibody formation, TSHR also functions as an autoantigen. GD and TED are immune diseases in which autoantibodies to the TSHR cause excessive stimulation and dysregulation of thyroid hormones. Both diseases are polyclonal, meaning that patients develop a variety of autoantibody clones that target TSHR, of which some or all will exert stimulatory function. Stimulatory autoantibodies are the main drivers of GD and TED from an immunobiology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polyclonal nature of autoantibodies to TSHR, all anti-TSHR autoantibodies bind to the same TSHR. By occupying TSHR with a therapeutic antibody, it is possible to inhibit the actions of multiple autoantibody clones. A highly specific and potent therapeutic antibody may successfully out- compete autoantibodies for binding to TSHR (Figure 2). This approach directly disrupts the disease process while preserving thyroid tissue. Furthermore, other third-party anti-TSHR antibodies have been shown to have a rapid onset of action and to achieve potent activity with low doses as compared to therapeutic antibodies that target more abundant proteins such as autoantibodies.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705600" cy="42481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705600" cy="424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2. YB-101 blockade of autoantibody binding to TSHR in tissues affected by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effector site makes TSHR a rational target for therapeutic intervention to disrupt the disease process. The biology of TSHR in GD and TED has been well characterized and third-party clinical studies of anti-TSHR antibodies in patients with GD and TED have illustrated the potential value of inhibiting this receptor for therapeutic benefit. Based on currently available third-party clinical data, the risk associated with TSHR inhibition appears to be possibly limited to hypothyroidism, which can be effectively treated with thyroid replacement therapy, specifically levothyroxine, which is a safe and effective intervention to normalize thyroid levels. Significant off-tissue adverse effects have not been observed in third-party clinical studies of anti-TSHR antibodies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of current treatment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treatment options for GD and TED have significant limitations. GD has historically been treated with small molecule ATDs, such as methimazole and propylthiouracil, which reduce thyroid hormone synthesis but do not directly address the underlying autoimmune mechanism driving disease. ATDs are associated with serious toxicities such as agranulocytosis, hepatotoxicity, aplastic anemia, thrombocytopenia, and vasculitis. There are currently no approved targeted biologics to treat GD. Several ongoing clinical development programs are evaluating the safety and efficacy of biologic modalities that target removal of GD autoantibodies. These modalities include anti-FcRn antibodies, which nonspecifically degrade immunoglobulins, and degraders that specifically target certain subtypes of immunoglobulins. These approaches are administered either intravenously or via subcutaneous injection on a weekly basis. Targeting circulating autoantibodies may involve engagement of a larger and more dynamic target pool compared to targeting the TSH receptor, which is primarily cell-surface localized. As a result, higher or sustained levels of therapeutic exposure of autoantibody degraders may be required to achieve meaningful target engagement, and this may translate to a higher dosing burden as compared to anti-TSHR antibodies. Previous third-party studies of investigational anti-FcRn antibodies have shown limited clinical benefit in patients with TED. To date, clinical data with these modalities in GD remains limited, and none have been approved for the treatment of GD.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treatment options for TED have historically focused on systemic glucocorticoids to reduce inflammation caused by autoimmune activity in the eye, which may provide temporary benefit but are associated with significant side effects and relapse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recently, TEPEZZA® became the first targeted biologic therapy approved for the treatment of TED. Additionally, LUMVOA™ (veligrotug-vvze) was approved in June 2026. Both TEPEZZA® and LUMVOA™ inhibit IGF-1R, which is a receptor expressed in the eye and other tissues and has been shown to indirectly modulate TSHR overstimulation and improve signs and symptoms of TED. However, IGF-1R is widely expressed across multiple tissues, and TEPEZZA® treatment has been associated with safety risks, including hearing impairment, hearing loss and hyperglycemia, which may limit its use in certain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Yarrow’s solution: YB-101, an anti-TSHR antibody for the treatment of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Yarrow’s lead product candidate, YB-101 (also known as GenSci098), is a humanized, recombinant IgG4 monoclonal antibody expressed in Chinese hamster ovary cells that targets TSHR. In December 2025, Yarrow in-licensed from GenSci the exclusive rights to develop YB-101 for the treatment of GD and TED outside of China. IgG4 was selected for the engineering of YB-101 due to its lack of Fc-mediated effector function, which is important to prevent immune-mediated destruction of thyroid cells, therefore preserving thyroid tissue.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YB-101 binds specifically to TSHR and inhibits autoantibody-mediated receptor over-stimulation, which is fundamental to the pathogenesis of both GD and TED. By binding selectively to the TSHR and blocking autoantibody-induced receptor activation, YB-101 directly inhibits the biological pathway responsible for hyperthyroidism and orbitopathy. Third-party clinical data from two SAD trials of another anti-TSHR antibody, K1-70, support the therapeutic potential of targeting TSHR in patients with GD and TED. Yarrow believes that this novel and targeted approach represents a potential breakthrough for patients with GD and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Phase 1 trials conducted by GenSci, YB-101 is currently being evaluated at projected dose levels of less than 300 milligrams and is administered subcutaneously at intervals of every eight weeks, which Yarrow believes may reduce treatment burden compared to existing and investigational therapies that require more frequent or intravenous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existing IGF-1R-directed therapies have demonstrated clinical benefit in TED, the broad expression of IGF1-R has been associated with treatment-limiting adverse events in certain patients. As TSHR is more narrowly expressed across tissues, YB-101 is not expected to cause hearing-related and other treatment-limiting adverse events that are associated with IGF-1R therapies, such as TEPEZZA®. In GenSci’s clinical studies to date, no clinically meaningful hearing-related adverse events have been reported in patients treated with YB-101. In addition, based on preclinical studies conducted by GenSci, YB-101 is not expected to be associated with the hepatotoxicity or agranulocytosis risks known to occur with ATDs.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 of YB-101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GenSci’s preclinical studies, receptor binding assays were used to characterize the binding of YB-101. These binding assays were conducted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using a human HEK293 cell line that overexpresses the TSHR. The half-maximal effective concentration of YB-101 in cells that overexpressed TSHR was 1.11 nM. Additional assays were conducted using the same cell line to investigate the inhibitory activity of YB-101. Upon stimulation with M22 (a research antibody reagent that stimulates TSHR), activity of M22 in cells that overexpressed TSHR was inhibited by YB-101, as measured by half-maximal inhibitory concentration of 2.3 nM.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effects of YB-101 on inflammatory mediators in TED eye tissue have also been evaluated in vitro. Orbital fibroblasts were isolated from patients with active and chronic TED, and these fibroblasts were treated with YB-101 along with a stimulatory antibody in order to mimic the inflammatory conditions of TED. In this assay, YB-101 inhibited the release of proinflammatory mediators (specifically, hyaluronic acid, interleukin-6 and interleukin-8).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YB-101 has also been evaluated in nonclinical pharmacology and toxicology studies in mice and cynomolgus monkeys. PD of YB-101 were evaluated in an M22-induced mouse model of acute GD. In this model, female BALB/c mice were administered the TSHR-stimulating antibody M22 to induce a GD phenotype. Eight groups of 16 mice per group were dosed subcutaneously with one of five dose levels of YB-101, a negative control, or a positive control (K1-70). Results showed that YB-101 reduced serum T4 levels by 50-68% in the top three dose levels at 24 hours post-dose. This activity was similar to what was observed with the positive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four-week repeat dose toxicology study was conducted in mice, and four-week and six-month repeat dose toxicology studies were conducted in cynomolgus monkeys. In the 4-week repeat dose toxicity study in mice, ICR mice were subcutaneously injected with YB-101 at doses of 20, 60, and 200 mg/kg once every two weeks for four weeks (three total doses) followed by a four-week recovery phase. Each dose level group included eight animals (four per sex). Under the experimental conditions of the study, the no-observed-adverse-effect-level (“NOAEL”) was 60 mg/kg for males and 200 mg/kg for females.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cynomolgus monkey four-week study, groups were subcutaneously administered YB-101 every two weeks for four weeks (three total doses) at dose levels of 15, 50, or 150 mg/kg with a four-week recovery phase. Each of the three dose level groups included 10 animals (five per sex). Under the experimental conditions of this study, the NOAEL was 50 mg/kg.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six-month study, cynomolgus monkeys were subcutaneously injected once a month for 6 consecutive months (7 doses) followed by a 16-week recovery phase. Monkeys were assigned to four groups, including an excipient control group and YB-101 10, 30, 100 mg/kg groups, with five monkeys per sex in each group. Under the experimental conditions of this study, the NOAEL was 30 mg/kg</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safety studies conducted over four weeks in mice and monkeys, as well as over six months in monkeys, demonstrated that YB-101 has an acceptable safety profile for testing in humans and a wide safety margin for exploring doses in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Phase 1 clinical trial in patients with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GenSci is conducting a first-in-human Phase 1 SAD and MAD study evaluating YB-101 versus placebo in adult patients with active TED in China. The primary objective of the study is to evaluate safety and tolerability of YB-101, with secondary objectives including PK and immunogenicity. Exploratory objectives include PD effects of YB-101, including thyroid hormone levels (biomarkers for GD) and preliminary clinical activity, including effects on proptosis (via Hertel exophthalmometer), CAS, diplopia, orbital tissue volume and Graves’ ophthalmopathy quality of life (“GO-QoL”).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Eligible patients included adults with moderate-to-severe active TED who were positive for thyroid-stimulating hormone receptor autoantibodies. Moderate-to-severe TED was defined as disease impacting quality of life and requiring intervention but not threatening vision, based on established clinical criteria, including eyelid retraction, soft tissue involvement, proptosis, and/or diplopia.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screening, patients were required to have euthyroid status or mild hypo- or hyperthyroidism within protocol-defined limits. Patients could be receiving stable ATD therapy and/or thyroid hormone replacement, be ATD-naïve, or have discontinued ATD therapy due to intolerance, provided protocol-specified stability criteria were met prior to enrollment.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and unblinded data have been analyzed from the SAD portion (Part 1) of the study (Figure 3). Forty patients were enrolled in the SAD, which evaluated five single doses of YB-101 (15 mg, 45 mg, 90 mg, 180 mg and 270 mg) versus placebo (3:1). Patients enrolled in the SAD were adults aged 20-64 with a diagnosis of active TED associated with GD (CAS of 3 or higher in the study eye at baseline in all patients except for two placebo patients with a CAS of 2 at baseline). For the study eye, the mean (SD) proptosis as measured by a Hertel Exophthalmometer was 22.88 (2.141) mm in the YB-101 groups and 22.20 (2.507) mm in the placebo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095875" cy="21812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095875" cy="2181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3. TED Part 1 (SAD) trial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Safety and Tolerability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 1, a single subcutaneous dose of YB-101 was generally well tolerated across the dose range evaluated. No deaths, no treatment-related serious adverse events and no adverse events leading to dose interruption or study withdrawal have been reported. Two serious adverse events have occurred during the trial, one in the YB-101 90 mg cohort and one in the placebo group, both of which were assessed by the investigator as unrelated to study treatment and resolved.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treatment-emergent and treatment-related adverse events were mild or moderate in severity, and no severe events were reported. Treatment-related hypothyroidism was reported in 43.3% of YB-101-treated patients overall, compared to 10.0% of placebo-treated patients, with incidence by dose of 16.7%, 0%, 50.0%, 66.7% and 83.3% in the 15 mg, 45 mg, 90 mg, 180 mg and 270 mg cohorts, respectively. These adverse events were mild or moderate in severity and are believed to be consistent with the mechanism of action of YB-101. No clinically meaningful differences were observed between YB-101 and placebo in vital signs, physical examinations, ophthalmologic assessments or other safety evaluations apart from hypothyroidism and related thyroid hormone changes. Hypothyroidism was managed by investigators with ATD dose reduction or discontinuation, and/or initiation of thyroid replacement therapy (e.g. levothyroxine) as guided by the study protocol. The foregoing safety information is reported based on Yarrow’s knowledge and does not reflect a continuous provision of information from our development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Pharmacokinetics and Pharmacodynamics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single subcutaneous dose, YB-101 exposure increased in a linear, dose-proportional manner across the dose range evaluated.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with TED have underlying GD, and both diseases are driven by autoantibody overstimulation of TSHR. It is expected in patients with GD or TED that TSHR inhibition with YB-101 will result in changes in thyroid hormone levels by directly blocking autoantibody-driven overstimulation of TSHR. For this reason, thyroid hormones, particularly FT3, FT4 and TSH, serve as relevant PD and disease biomarkers. In Part 1, changes in thyroid hormones were observed shortly after dosing and were consistent with the expected mechanism of action of YB-101. Treatment with YB-101 was associated with reductions in circulating thyroid hormones, including TT3, TT4, FT3 and FT4, beginning within the first several days following dosing. Decreases in FT3 and FT4 were observed as early as approximately Day 2 to Day 3, with nadirs generally occurring between approximately Day 11 and Day 15. These changes were followed by a compensatory increase in TSH levels starting at approximately Day 3 to Day 5, with peak TSH elevations typically observed between approximately Day 15 and Day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PD effects appeared overall dose-dependent with greater magnitude and longer duration at higher doses, particularly at 180 mg and 270 mg, relative to the lower dose cohorts. For example, larger reductions from baseline in thyroid hormone levels and higher peak TSH elevations were observed in these higher dose groups, and the time required for these parameters to return toward baseline appeared longer compared to lower dose cohorts. Because investigators were permitted to adjust concomitant ATD or thyroid hormone replacement therapy during the study in response to changing thyroid hormone levels, the analysis of YB-101 PD is partially influenced by these background interventions. Although reductions and discontinuations of ATDs were reported in some patients, the study was not designed to prospectively evaluate ATD reduction or discontinuation as an endpoint.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these PD findings in GD-relevant biomarkers after a single dose of YB-101 are consistent with target engagement and the proposed mechanism of action of YB-101. The observed thyroid hormone changes were also reflected clinically in the increased incidence of treatment-related hypothyroidism observed in the higher dose cohorts. Further evaluation of PD will be conducted in the MAD portion (Part 2) of the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Clinical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Part 1 was not designed or powered to establish efficacy, YB-101 demonstrated preliminary evidence of biological and clinical activity across multiple TED-related endpoints following a single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the five YB-101 dose groups, proptosis response rates, overall response rates and diplopia response rates were generally higher than placebo. For proptosis response (a reduction in proptosis of≥2 mm), response rates across YB-101 cohorts ranged up to 66.7% at post-baseline assessments, compared to up to 20.0% for placebo. Mean reductions from baseline in proptosis were also generally greater with YB-101 than with placebo, with the most favorable results observed in the 180 mg and 270 mg cohorts.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YB-101-treated patients also demonstrated higher overall response rates (a reduction of ≥2 points in the CAS plus a reduction in proptosis of ≥2 mm) compared to placebo-treated patients. Across post-baseline assessments, overall response rates reached as high as 66.7% in the 180 mg cohort, compared to a maximum of 10.0% in the placebo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diplopia, reduction response rates for at least one-grade improvement were generally higher in several YB-101 dose groups than in placebo, with the 270 mg cohort showing the most favorable findings.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these clinical measures, YB-101 treatment was associated with sustained reductions in total extraocular muscle volume and intra-orbital fat volume through follow-up, whereas placebo showed limited change over most of the observation period. Improvements in patient-reported quality of life outcomes, such as GO-QoL were also observed in certain YB-101 dose groups, with the 45 mg and 270 mg cohorts showing the most favorable trends relative to placebo at most visits.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Taken together, Yarrow believes the results from Part 1 provide evidence of biological and preliminary clinical activity of YB-101 in TED following a single dose, with the 180 mg and 270 mg cohorts generally showing the most consistent activity across proptosis and overall response endpoints, and the 270 mg cohort showing the most favorable diplopia-related findings. However, these findings are based on a small number of patients in each cohort, the efficacy endpoints were exploratory, and the study was not powered for formal statistical comparisons.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MAD portion of the trial is ongoing and remains blinded. Thirty-six patients are planned to be enrolled into three dose escalation cohorts (90 mg every 8 weeks, 180 mg every 8 weeks, and 270 mg every 8 weeks; Figure 4). Each cohort will enroll 12 patients at a 5:1 ratio of YB-101 to placebo. Patients will receive three doses of YB-101 and will be followed for 40 weeks. To date, one serious adverse event has been reported, which was unrelated to the study drug. There have been no deaths, no treatment-related serious adverse events and no dose interruptions or discontinuations due to adverse events. The foregoing safety information is reported based on the Company's knowledge and does not reflect a continuous provision of information from our development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data from Parts 1 and 2 of this study are expected to be presented at a future scientific meeting and/or submitted for publication in a peer-reviewed journal.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933950" cy="20859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933950" cy="20859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4. TED Part 2 (MAD) trial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Phase 1 clinical trial in patients with GD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GenSci has also initiated a randomized, double-blind, placebo-controlled, SAD Phase 1 trial of YB-101 in adult patients with GD in mainland China. This trial is enrolling patients with a confirmed diagnosis of GD who are not receiving ATD treatment or who can discontinue treatment temporarily to participate in the trial, and data are expected in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development of YB-101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in GD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Yarrow initiated a randomized, blinded, placebo-controlled combined Phase 2a/Phase 2b trial of YB-101 in adult patients with GD who are well-controlled on ATDs. The trial is being conducted in the United States and other territories outside of China and will consist of two parts. Yarrow also submitted an application for Fast Track designation for YB-101 in GD to the FDA in March 2026 and received notice of Fast Track designation from FDA on 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 will be conducted as a Phase 2a, proof-of-concept study of YB-101 versus placebo. In Part 1, patients with GD will receive three subcutaneous doses of YB-101 or placebo administered once every eight weeks or six subcutaneous doses of YB-101 or placebo once every four weeks. Patients will be evaluated for the primary safety, PK, PD and efficacy endpoints at 24 weeks. The planned YB-101 dose levels for Part 1 include 180 mg, 270 mg, and 400 mg administered every eight weeks, as well as 200 mg administered every four weeks, with eight patients planned to be enrolled in each cohort, YB-101 versus placebo (3:1). The 180 mg Q8 week and 270 mg Q8 week cohorts will be enrolled in parallel. The dose levels and frequency of dosing for the remaining two cohorts can be modified based on the recommendation of the data monitoring committee based on the analysis of PK, PD and safety data from the first two cohorts. Data from the Phase 2a portion of the trial are expected in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2 is expected to be conducted as a Phase 2b dose-finding study consisting of up to four parallel cohorts. In Part 2, three dose levels of YB-101 are expected to be evaluated against placebo with 50 patients planned for each treatment arm. The selection of doses and dosing intervals for Part 2 is expected to be informed by the safety, efficacy, PK, and PD data generated in Part 1 (Phase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Parts 1 and 2, ATDs will be tapered in accordance with a specific algorithm in the study protocol based on improvements in biomarkers of GD, including FT3, FT4 and TSH. Efficacy assessments will include the proportion of patients who achieve normalization of FT3 and FT4 levels, or the proportion of patients who become euthyroid and achieve reduction or discontinuation of ATD therapy. In both parts, patients who develop hypothyroidism will receive thyroid replacement therapy (levothyroxine) to target a euthyroid state per protocol. A data monitoring committee will review all emerging safety and efficacy data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Development in 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exploring a clinical development plan for YB-101 in adult patients with TED in the United States and other territories outside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Yarrow’s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GenSci License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2025, GenSci and Yarrow entered into a license agreement (the “GenSci License Agreement”), pursuant to which Yarrow obtained from GenSci an exclusive, royalty-bearing license to develop, manufacture, and commercialize YB-101 (also known as GenSci098), an antibody targeting the TSHR outside Greater China for all fields of use, including the treatment of GD and TED. GenSci retained rights to exploit these assets in Greater China. Under the GenSci License Agreement, and subject to limited exceptions in which GenSci will perform certain development activities outside Greater China, Yarrow is responsible for all development and commercialization activities for YB-101 outside Greater China. GenSci is obligated to provide Yarrow with clinical data relating to YB-101 that exists as of the effective date in connection with the initial know-how transfer. Additionally, each party is obligated to provide the other party with certain clinical data generated by that party during the development of YB-101 as part of the ongoing information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clinical data generated by GenSci will be shared with Yarrow for inclusion in global safety reports and regulatory submissions by Yarrow to global health authorities including the FDA. Yarrow is the manager of the YB-101 global safety database; as a result, data sharing between Yarrow and GenSci will continue during the term of the GenSci License Agreement. Yarrow does not currently anticipate outsourcing preclinical or clinical research to GenSci, but could consider doing so in the future. Manufacturing data generated by GenSci related to the manufacturing and testing of YB-101 will be shared with Yarrow on an ongoing basis to support global regulatory filings related to 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customary exceptions, during the term of the GenSci License Agreement, neither Yarrow (with respect to activities outside Greater China) nor GenSci (with respect to activities in Greater China), nor their respective affiliates, may directly or indirectly clinically develop or commercialize specified categories of antibodies directed to TSHR.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GenSci License Agreement, GenSci received an upfront payment of $70.0 million. GenSci is also eligible to receive up to approximately $1.295 billion in additional contingent payments based on GenSci’s completion of the manufacturing technology transfer, GenSci’s achievement of a development milestone, as well as Yarrow’s achievement of development, regulatory approval, and commercial sales-based milestones. Specifically, GenSci is eligible to receive up to approximately $100 million in contingent payments based on the achievement of specified clinical development milestones by Yarrow or GenSci, including a $50 million near-term development milestone, as applicable, and up to $150 million in contingent payments based on Yarrow’s achievement of specified regulatory approval milestones. In addition, GenSci is eligible to receive tiered royalties ranging from the low teens to the low-mid teens on annual net product sales outside Greater China during the applicable royalty term. The royalty term for a licensed product in a given country commences upon the first commercial sale of the licensed product in that country and continues until the latest of: (a) the expiration of the last royalty-bearing valid claim of the licensed patents covering the licensed product in that country; (b) the tenth anniversary of the first commercial sale of the licensed product in that country; and (c) the expiration of all regulatory exclusivity for the licensed product in that country. The expected expiry of the last-to-expire royalty payment obligation is January 20, 2046.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GenSci License Agreement will remain in effect until the expiration of all royalty terms. Either party may terminate the GenSci License Agreement for an uncured material breach or insolvency of the other party. GenSci may terminate the GenSci License Agreement in the event of a specified patent challenge by Yarrow or its affiliates or if Yarrow ceases all development activities outside Greater China for a substantial period of time prior to achieving a specified regulatory approval milestone. Following a specified near-term triggering event, Yarrow may terminate the GenSci License Agreement for convenience upon providing the required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biotechnology and biopharmaceutical industries are characterized by continuing technological advancement and significant competition. While Yarrow believes that its product candidate, technology, development experience and scientific knowledge provide it with competitive advantages, Yarrow faces competition from major pharmaceutical and biotechnology companies, academic institutions, governmental agencies and public and private research institutions, among others. Any product candidates that Yarrow successfully develops and commercializes will compete with existing therapies and new therapies currently in clinical development or that may become available in the future. Many of the companies with which Yarrow is currently competing or will compete against in the future have significantly greater financial resources and expertise in research and development, manufacturing, preclinical testing, conducting clinical trials, obtaining regulatory approvals and marketing approved products than Yarrow does. Mergers and acquisitions in the pharmaceutical and biotechnology industry may result in even more resources being concentrated among a smaller number of Yarrow’s competitors. Smaller or early-stage companies may also prove to be significant competitors, particularly through collaborative arrangements with large and established companies. These competitors also compete with Yarrow in recruiting and retaining qualified scientific and management personnel, establishing clinical trial sites, patient enrollment for clinical trials as well as in acquiring technologies complementary to, or necessary for, Yarrow’s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 competitive factors affecting the success of all Yarrow’s product candidates that it will develop, if approved, are likely to be efficacy, safety, convenience, dosing frequency, presentation, price, the level of competition and generic competition and the availability of reimbursement from government and other third-party payors. Some competitors have obtained regulatory approval for products and they or others may also obtain regulatory approvals in the future for products for the treatment of the same indications that Yarrow’s product candidates target more rapidly than Yarrow does, which may result in Yarrow’s competitors establishing a strong market position before Yarrow is able to enter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there are several companies developing or marketing treatments that may be approved for the same indications and/or disease as Yarrow’s lead product candidate, YB-101, including major pharmaceutical companies. There can be no assurance that YB-101 will have similar or superior results compared to the current standard of care or to those offered by the evolving treatment landscape.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TEPEZZA® (teprotumumab-trbw), a humanized monoclonal antibody targeting IGF-1R, is approved in the United States for the treatment of TED and has demonstrated clinical efficacy; however, its use is associated with potentially serious adverse effects, including hearing impairment and hyperglycemia, which may lead to treatment discontinuation. Additionally, LUMVOA™ (veligrotug-vvze) was approved in June 2026. The treatment paradigm in GD and TED is rapidly evolving and several companies, including Immunovant, Inc., Biohaven Ltd., Alumis Inc., Argenx SE, Biohaven, Sanofi, Merida Biosciences, H. Lundbeck A/S, Lassen Therapeutics, Roche, Sling Therapeutics, Inc., Novartis AG (which acquired Tourmaline Bio, Inc. in October 2025) and Viridian Therapeutics, Inc., are developing therapeutics for GD and TED currently in clinical development that are expected to be direct competitors with YB-101. Viridian Therapeutics, Inc. and Ethyreal Bio are also developing TSHR-targeted antibody therapeutics for GD and TED that are currently in preclinical development and that are also direct competitors with YB-101.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does not own or operate, and currently has no plans to establish, any manufacturing facilities. Yarrow relies on and expects to continue to rely on GenSci and/or third-party CDMOs for the manufacturing of YB-101 and related raw materials for clinical development, as well as for the commercial manufacturing of any of its product candidates that receive marketing approval in the future. Yarrow currently solely relies on GenSci to provide biological development and manufacturing services. Yarrow believes there are multiple sources for all of the materials required for the manufacturing of YB-101 and may in the future engage additional CDMOs to provide biological development and manufacturing services. As YB-101 and its future product candidates advance through development, Yarrow expects to enter into longer-term commercial supply agreements with key suppliers and manufacturers to fulfill and secure its production needs. If GenSci becomes unavailable to Yarrow for any reason, Yarrow believes that there are a number of potential replacements, and it will need to identify and qualify such replacements.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also relies on GenSci to perform all chemistry, manufacturing, and controls activities. Yarrow’s agreements with GenSci may obligate them to develop or transfer upstream and downstream processes, develop or transfer drug product manufacturing processes, develop or transfer suitable analytical methods for release and stability testing and qualify these methods for use with Yarrow’s product candidates, produce drug substance for preclinical testing, and produce drug substance or drug product under Current Good Manufacturing Practices (“cGMP”) for use in clinical trials among other activities. In addition, Yarrow relies on GenSci to operate facilities that meet regulatory requirements for production and testing of clinical and commercial products and to work closely with Yarrow to validate manufacturing processes prior to commercial launch.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qualifies CDMOs including GenSci prior to initiation of cGMP regulated activities and periodically thereafter as part of the supplier qualification program. Yarrow oversees CDMOs including GenSci by performing technical and quality assurance review and/or approval of cGMP documentation, establishing quality agreements to define responsibilities and expectations for goods and services, and observing production and testing activities as a person-in-plant, among other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strives to protect the proprietary programs and technologies that it believes are important to its business, including seeking and maintaining patent protection intended to cover the composition of matter of its programs, its methods of use and manufacture, and other inventions.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has one pending U.S. provisional patent application related to methods of treating GD with YB-101, which was filed in February 2026 at the United States Patent and Trademark Office (“USPTO”). A provisional patent application is an application filed at the USPTO for the purpose of securing an early date of priority for the applicant’s invention. The provisional application must include a written description of what the inventor has discovered, along with a drawing of the invention, but need not include patent claims, statements concerning or disclosing the prior art, or certain other formalities. 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a non-provisional patent application claiming priority to this U.S. provisional patent application is filed and issued as a patent, the patent would expire in February 2047, absent any terminal disclaimers, patent term adjustment, or patent term extension, and assuming timely payment is made of all appropriate maintenance, renewal, annuity, or other governmental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licenses patent rights to three patent families in jurisdictions outside of Greater China (Chinese mainland, the Hong Kong Special Administrative Region, the Macau Special Administrative Region and Taiwan) from GenSci under the GenSci License Agreement. Under the GenSci License Agreement, Yarrow has the first right to file, prosecute, defend, maintain, and filed Patent Term Extensions for all licensed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licensed patent family is directed to compositions of matter, covering monoclonal antibodies targeting the TSHR, including YB-101. The licensed patent applications in this patent family are national stage applications from a PCT application filed August 2023, and are pending in the United States, Australia, United Arab Emirates, Canada, European Patent Organization, Japan, Korea, Russia, Qatar, and Saudi Arabia. If one or more of these patent applications are issued as a patent, the patent would expire August 2043, absent any terminal disclaimers, patent term adjustment, or patent term extension, and assuming timely payment is made of all appropriate maintenance, renewal, annuity, or other governmental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licensed patent family is directed to methods of treatment with YB-101. The second licensed patent family includes a pending PCT application filed September 2025. A national stage patent application filed from this pending PCT application, if issued as a patent, would expire September 2045, absent any terminal disclaimers, patent term adjustment, or patent term extension, and assuming timely payment is made of all appropriate maintenance, renewal, annuity, or other governmental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licensed patent family is directed to formulations of YB-101. The third licensed patent family includes a pending PCT application filed January 2026. A national stage patent application filed from this pending PCT application, if issued as a patent, would expire January 2046, absent any terminal disclaimers, patent term adjustment, or patent term extension, and assuming timely payment is made of all appropriate maintenance, renewal, annuity, or other governmental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term of a U.S. patent, excluding extensions and adjustments, begins on the effective filing date of the first non-provisional application claiming the patented invention and ending 20 years from that date. In essence, a provisional patent application provides a patent applicant two principal advantages over filing a non-provisional application. First, it allows the applicant to secure an earlier priority date for its invention than that of an equivalent non-provisional application — up to one year earlier than the filing date of a related non-provisional application. Second, since the term of a patent runs from the effective filing date of the first non-provisional application but does not begin upon filing a provisional application, filing a provisional application provides the applicant an additional year’s time to refine that invention before filing a related non-provisional application without surrendering the earlier priority date. Securing an earlier priority date both ensures that later inventors cannot obtain a patent to the same invention and provides protection against certain arguments that developments in the field arising after the priority date should prevent or invalidate the applicant’s invention.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IP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patents, Yarrow relies upon unpatented trade secrets, know-how and continuing technological innovation to develop and maintain its competitive position. However, trade secrets and know-how can be difficult to protect. Yarrow seeks to protect its proprietary information, in part by executing confidentiality agreements with its collaborators and scientific advisors, and non-competition, non-solicitation, confidentiality and invention assignment agreements with its employees and consultants. Yarrow has also executed agreements requiring assignment of inventions with selected scientific advisors and collaborators. The confidentiality agreements Yarrow enters into are designed to protect its proprietary information and the agreements or clauses requiring assignment of inventions to Yarrow are designed to grant Yarrow ownership of technologies that are developed through its relationship with the respective counterparty. Yarrow cannot guarantee, however, that it has executed such agreements with all applicable counterparties, that such agreements will not be breached, or that these agreements will afford it adequate protection of its intellectual property and proprietary rights. For more information, please see the section titled “</w:t>
      </w:r>
      <w:r>
        <w:rPr>
          <w:rFonts w:ascii="Times New Roman;Times;Serif" w:hAnsi="Times New Roman;Times;Serif"/>
          <w:b w:val="false"/>
          <w:i/>
          <w:caps w:val="false"/>
          <w:smallCaps w:val="false"/>
          <w:sz w:val="20"/>
        </w:rPr>
        <w:t>Risk Factors — Risks Related to Our Intellectual Property</w:t>
      </w:r>
      <w:r>
        <w:rPr>
          <w:rFonts w:ascii="Times New Roman;Times;Serif" w:hAnsi="Times New Roman;Times;Serif"/>
          <w:b w:val="false"/>
          <w:i w:val="false"/>
          <w:caps w:val="false"/>
          <w:smallCaps w:val="false"/>
          <w:sz w:val="20"/>
        </w:rPr>
        <w:t>” in Yarrow’s Quarterly Report on Form 10-Q for the quarter ended June 30, 2026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Yarrow had seven full-time employees, four of whom have Ph.D. or M.D. degrees and are engaged in research and development. Yarrow also retains independent contractors, as needed, to support its organization’s needs. None of Yarrow’s employees are represented by labor unions or covered under collective bargaining agreements. Yarrow considers its relationship with its employees to be good.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believes its employees are critical to its success and ability to achieve its business objectives. To that end, Yarrow is focused on retaining, developing and engaging its existing employees, and attracting high performing talent to join its team. Yarrow’s rewards package (cash and equity-based compensation and 401(k) and health and welfare benefits plans) is a key tool in retaining, engaging and rewarding its team. Yarrow is also committed to the continued learning and development of its employees, which Yarrow believes will enable it to do its best work for patients. Yarrow encourages its team members to attend conferences and seminars and take continuing education courses to further their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expects to continue to build its team to ensure it can effectively execute against its business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Yarrow is developing. Yarrow, along with third-party contractors, will be required to navigate the various preclinical, clinical and commercial approval requirements of the governing regulatory agencies of the countries in which Yarrow wishes to conduct studies or seek approval or licensure of its product candidates. Generally, before a new therapeutic product can be marketed, considerable data demonstrating a biological product candidate’s quality, safety, purity and potency, or a small molecule drug candidate’s quality, safety and efficacy, must be obtained, organized into a format specific for each regulatory authority, submitted for review and approved by the regulatory authority. For biological product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applicable U.S. requirements at any time during the product development process, approval process or post-marketing may subject an applicant to administrative or judicial sanctions. These sanctions could include, among other actions, the FDA’s refusal to approve pending applications from the sponsor,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Yarrow’s company and its products or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Biologics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biological products (or “biologics”) are subject to regulation under the Federal Food, Drug, and Cosmetic Act (“FDCA”), the Public Health Service Act (“PHSA”) and other federal, state, local, and foreign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following approval may subject an applicant to administrative action and judicial sanctions. The process required by the FDA before biologic product candidates may be marketed in the United States generally involves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completion of preclinical laboratory tests and animal studies performed in accordance with the FDA’s current Good Laboratory Practices (“GLP”) regulation;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submission to the FDA of an Investigational New Drug Application (“IND”), which must become effective before clinical trials may begin and must be updated annually or when significant changes are made;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approval by an independent institutional review board (“IRB”), or ethics committee at each clinical site before the trial is commenced;</w:t>
            </w:r>
          </w:p>
        </w:tc>
      </w:tr>
    </w:tbl>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125"/>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05" w:type="dxa"/>
            <w:tcBorders/>
            <w:vAlign w:val="center"/>
          </w:tcPr>
          <w:p>
            <w:pPr>
              <w:pStyle w:val="TableContents"/>
              <w:bidi w:val="0"/>
              <w:spacing w:before="0" w:after="283"/>
              <w:jc w:val="left"/>
              <w:rPr/>
            </w:pPr>
            <w:r>
              <w:rPr/>
              <w:t>manufacture of the proposed biologic candidate in accordance with cGMPs;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performance of adequate and well-controlled human clinical trials in accordance with Good Clinical Practice (“GCP”) requirements to establish the safety, purity and potency of the proposed biologic product candidate for its intended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preparation of and submission to the FDA of a biologics license application (“BLA”), after completion of all pivotal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9633" w:type="dxa"/>
        <w:jc w:val="left"/>
        <w:tblInd w:w="0" w:type="dxa"/>
        <w:tblLayout w:type="fixed"/>
        <w:tblCellMar>
          <w:top w:w="0" w:type="dxa"/>
          <w:left w:w="0" w:type="dxa"/>
          <w:bottom w:w="0" w:type="dxa"/>
          <w:right w:w="0" w:type="dxa"/>
        </w:tblCellMar>
      </w:tblPr>
      <w:tblGrid>
        <w:gridCol w:w="38"/>
        <w:gridCol w:w="125"/>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470" w:type="dxa"/>
            <w:tcBorders/>
            <w:vAlign w:val="center"/>
          </w:tcPr>
          <w:p>
            <w:pPr>
              <w:pStyle w:val="TableContents"/>
              <w:bidi w:val="0"/>
              <w:spacing w:before="0" w:after="283"/>
              <w:jc w:val="left"/>
              <w:rPr/>
            </w:pPr>
            <w:r>
              <w:rPr/>
              <w:t>a determination by the FDA within 60 days of its receipt of a BLA to file the application for review;</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12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385" w:type="dxa"/>
            <w:tcBorders/>
            <w:vAlign w:val="center"/>
          </w:tcPr>
          <w:p>
            <w:pPr>
              <w:pStyle w:val="TableContents"/>
              <w:bidi w:val="0"/>
              <w:spacing w:before="0" w:after="283"/>
              <w:jc w:val="left"/>
              <w:rPr/>
            </w:pPr>
            <w:r>
              <w:rPr/>
              <w:t>satisfactory completion of an FDA Advisory Committee review,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FDA review and approval of a BLA to permit commercial marketing of the product for particular indications for use in the United States.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and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beginning any clinical trial with a product candidate in the United States, Yarrow must submit an IND to the FDA. An IND is a request for authorization from the FDA to administer an investigational new drug product to humans. The central focus of an IND submission is on the general investigational plan and the protocol or protocols for preclinical studies and clinical trials.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In April 2025, the FDA published a roadmap to reduce animal testing in preclinical safety studies, including those required in INDs, with scientifically validated new approach methodologies (“NAMs”).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BLA approval, human clinical trials are typically conducted in three sequential phases that may overlap.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appropriate packaging must be selected and tested and stability studies must be conducted to demonstrate that the product candidate does not undergo unacceptable deterioration over its shelf life.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including that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BLA Submission and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 except that the PREA will apply to an original BLA for a new active ingredient that is orphan-designated if the biologic is a molecularly targeted cancer product intended for the treatment of an adult cancer and is directed at a molecular target that the FDA determines to be substantially relevant to the growth or progression of a pediatric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Expedited Development and Review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data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 Yarrow also submitted an application for Fast Track designation for YB-101 in GD to the FDA in March 2026 and received notice of Fast Track designation from the FDA on May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marketing application for a biologic submitted to the FDA for approval, including a product with a Fast Track designation, may be eligible for other types of FDA programs intended to expedite the FDA review and approval process, such as priority review A product is eligible for priority review if there is evidence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Track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Orphan Drug Designation and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Orphan Drug Act of 1983, the FDA may grant orphan drug designation to a product candidate intended to treat a rare disease or condition, which is generally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product candidate. Orphan drug designation must be requested before submitting a BLA. After the FDA grants orphan drug designation, the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product that has orphan drug designation subsequently receives the first FDA approval for the disease or condition for which it has such designation, the product is entitled to orphan drug exclusive approval (or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by means of greater effectiveness, greater safety or providing a major contribution to patient care or if the holder of the orphan drug exclusivity cannot assure the availability of sufficient quantities of the orphan drug to meet the needs of patients with the disease or condition for which the product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designated orphan drug may not receive orphan drug exclusivity if it is approved for a use that is broader than the indication for which it received orphan drug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some uncertainty with respect to the FDA’s interpretation of the scope of orphan drug exclusivity. Historically, exclusivity was specific to the orphan indication for which the drug was approved. As a result, the scope of exclusivity was interpreted as preventing approval of a competing product. However, in 2021, the federal court in Catalyst Pharmaceuticals, Inc. v. Becerra suggested that orphan drug exclusivity covers the full scope of the orphan-designated “disease or condition” regardless of whether a drug obtained approval for a narrower 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Post-Approval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products manufactured or distributed by Yarrow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As part of the manufacturing process, the manufacturer is required to perform certain tests on each lot of the product before it is released for distribution. After a BLA is approved for a biological product, the product also may be subject to official lot release.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and potency or effectiveness of biologics.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Yarrow and its third-party manufacturers. Changes to the manufacturing process are strictly regulated, and, depending on the significance of the change, may require prior FDA approval before being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regulations also require investigation and correction of any deviations from cGMPs and impose reporting requirements upon Yarrow and any third-party manufacturers that it may decide to use. Accordingly, manufacturers must continue to expend time, money and effort in the area of production and quality control to maintain compliance with cGMPs and other aspects of regulatory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restrictions on the marketing or manufacturing of a product, complete withdrawal of the product from the market or product recalls;</w:t>
            </w:r>
          </w:p>
        </w:tc>
      </w:tr>
    </w:tbl>
    <w:p>
      <w:pPr>
        <w:pStyle w:val="TextBody"/>
        <w:bidi w:val="0"/>
        <w:spacing w:before="0" w:after="0"/>
        <w:ind w:left="0" w:right="0" w:hanging="0"/>
        <w:jc w:val="left"/>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38"/>
        <w:gridCol w:w="125"/>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975" w:type="dxa"/>
            <w:tcBorders/>
            <w:vAlign w:val="center"/>
          </w:tcPr>
          <w:p>
            <w:pPr>
              <w:pStyle w:val="TableContents"/>
              <w:bidi w:val="0"/>
              <w:spacing w:before="0" w:after="283"/>
              <w:jc w:val="left"/>
              <w:rPr/>
            </w:pPr>
            <w:r>
              <w:rPr/>
              <w:t>fines, warning letters or holds on post-approval clinical studies;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refusal of the FDA to approve pending applications or supplements to approved applications, or suspension or revocation of existing product approvals;</w:t>
            </w:r>
          </w:p>
        </w:tc>
      </w:tr>
    </w:tbl>
    <w:p>
      <w:pPr>
        <w:pStyle w:val="TextBody"/>
        <w:bidi w:val="0"/>
        <w:spacing w:before="0" w:after="0"/>
        <w:ind w:left="0" w:right="0" w:hanging="0"/>
        <w:jc w:val="left"/>
        <w:rPr>
          <w:caps w:val="false"/>
          <w:smallCaps w:val="false"/>
        </w:rPr>
      </w:pPr>
      <w:r>
        <w:rPr>
          <w:caps w:val="false"/>
          <w:smallCaps w:val="false"/>
        </w:rPr>
        <w:t> </w:t>
      </w:r>
    </w:p>
    <w:tbl>
      <w:tblPr>
        <w:tblW w:w="9003" w:type="dxa"/>
        <w:jc w:val="left"/>
        <w:tblInd w:w="0" w:type="dxa"/>
        <w:tblLayout w:type="fixed"/>
        <w:tblCellMar>
          <w:top w:w="0" w:type="dxa"/>
          <w:left w:w="0" w:type="dxa"/>
          <w:bottom w:w="0" w:type="dxa"/>
          <w:right w:w="0" w:type="dxa"/>
        </w:tblCellMar>
      </w:tblPr>
      <w:tblGrid>
        <w:gridCol w:w="38"/>
        <w:gridCol w:w="12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8840" w:type="dxa"/>
            <w:tcBorders/>
            <w:vAlign w:val="center"/>
          </w:tcPr>
          <w:p>
            <w:pPr>
              <w:pStyle w:val="TableContents"/>
              <w:bidi w:val="0"/>
              <w:spacing w:before="0" w:after="283"/>
              <w:jc w:val="left"/>
              <w:rPr/>
            </w:pPr>
            <w:r>
              <w:rPr/>
              <w:t>product seizure or detention, or refusal of the FDA to permit the import or export of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consent decrees, corporate integrity agreements, debarment or exclusion from federal healthcare programs;</w:t>
            </w:r>
          </w:p>
        </w:tc>
      </w:tr>
    </w:tbl>
    <w:p>
      <w:pPr>
        <w:pStyle w:val="TextBody"/>
        <w:bidi w:val="0"/>
        <w:spacing w:before="0" w:after="0"/>
        <w:ind w:left="0" w:right="0" w:hanging="0"/>
        <w:jc w:val="left"/>
        <w:rPr>
          <w:caps w:val="false"/>
          <w:smallCaps w:val="false"/>
        </w:rPr>
      </w:pPr>
      <w:r>
        <w:rPr>
          <w:caps w:val="false"/>
          <w:smallCaps w:val="false"/>
        </w:rPr>
        <w:t> </w:t>
      </w:r>
    </w:p>
    <w:tbl>
      <w:tblPr>
        <w:tblW w:w="9993" w:type="dxa"/>
        <w:jc w:val="left"/>
        <w:tblInd w:w="0" w:type="dxa"/>
        <w:tblLayout w:type="fixed"/>
        <w:tblCellMar>
          <w:top w:w="0" w:type="dxa"/>
          <w:left w:w="0" w:type="dxa"/>
          <w:bottom w:w="0" w:type="dxa"/>
          <w:right w:w="0" w:type="dxa"/>
        </w:tblCellMar>
      </w:tblPr>
      <w:tblGrid>
        <w:gridCol w:w="38"/>
        <w:gridCol w:w="125"/>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9830" w:type="dxa"/>
            <w:tcBorders/>
            <w:vAlign w:val="center"/>
          </w:tcPr>
          <w:p>
            <w:pPr>
              <w:pStyle w:val="TableContents"/>
              <w:bidi w:val="0"/>
              <w:spacing w:before="0" w:after="283"/>
              <w:jc w:val="left"/>
              <w:rPr/>
            </w:pPr>
            <w:r>
              <w:rPr/>
              <w:t>mandated modification of promotional materials and labeling and the issuance of corrective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the issuance of safety alerts, Dear Healthcare Provider letters, press releases and other communications containing warnings or other safety information about the product; or</w:t>
            </w:r>
          </w:p>
        </w:tc>
      </w:tr>
    </w:tbl>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0" w:type="dxa"/>
          <w:right w:w="0" w:type="dxa"/>
        </w:tblCellMar>
      </w:tblPr>
      <w:tblGrid>
        <w:gridCol w:w="38"/>
        <w:gridCol w:w="125"/>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5465" w:type="dxa"/>
            <w:tcBorders/>
            <w:vAlign w:val="center"/>
          </w:tcPr>
          <w:p>
            <w:pPr>
              <w:pStyle w:val="TableContents"/>
              <w:bidi w:val="0"/>
              <w:spacing w:before="0" w:after="283"/>
              <w:jc w:val="left"/>
              <w:rPr/>
            </w:pPr>
            <w:r>
              <w:rPr/>
              <w:t>injunctions or the imposition of civil or criminal penalties.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Yarrow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Biosimilars and Reference Product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Affordable Care Act (“ACA”) includes a subtitle called the Biologics Price Competition and Innovation Act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The FDA has issued two guidance documents intended to inform prospective applicants and facilitate the development of proposed biosimilars and interchangeable biosimilars, as well as to describe the FDA’s interpretation of certain statutory requirements added by the BPCIA.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BPCIA is complex and continues to be interpreted and implemented by the FDA.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Patent Term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after a BLA is approved, owners of relevant drug patents may apply for up to a five-year patent extension, which permits patent term restoration as compensation for the patent term lost during the FDA regulatory process. The allowable patent term extension is typically calculated as one-half the time between, the latter of the effective date of an IND and issue date of the patent for which extension is sought, and the submission date of a BLA, plus the time between BLA submission date and the BLA approval date up to a maximum of five years. The time can be shortened if the FDA determines that the applicant did not pursue licensure with due diligence. The total patent term after the extension may not exceed 14 years from the date of product licensure. Only one patent applicable to a licensed biological product is eligible for extension and only those claims covering the product, a method for using it, or a method for manufacturing it may be extended and the application for the extension must be submitted prior to the expiration of the patent in question. However, Yarrow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Some, but not all, foreign jurisdictions possess patent term extension or other additional patent exclusivity mechanisms that may be more or less stringent and comprehensive than those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Healthcare Laws and Compliance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commercial activities from AKS prosecution, but they are drawn narrowly and practices that involve remuneration, such as consulting agreements, for persons in a position to refer or recommend federally reimbursable healthcare business may be alleged to be intended to induce prescribing, purchasing or recommending, and may be subject to scrutiny if they do not qualify for an exception or regulatory safe harbor. Qualifying for a statutory exception or regulatory safe harbor requires satisfying all of the criteria for the exception or safe harbor. Yarrow’s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but it does increase the risk of regulatory scrutiny. Ultimately,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FCA, which can be enforced through civil whistleblower or qui tam actions, prohibits,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also subject to federal price reporting laws and federal consumer protection and unfair competition laws. Federal price reporting laws require manufacturers to calculate and report complex pricing metrics to government programs, where such reported prices may be used in the calculation of reimbursement and/ or discounts on approved products. Federal consumer protection and unfair competition laws broadly regulate marketplace activities and activities that potentially harm consumers.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also subject to additional similar U.S. state and foreign law equivalents of each of the above federal laws, which, in some cases, differ from each other in significant ways, and may not have the same effect, thus complicating compliance efforts. If Yarrow’s operations are found to be in violation of any of such laws or any other governmental regulations that apply, Yarrow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Privacy and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and could apply to Yarrow’s operations or the operations of its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HIPAA, as amended by the Health Information Technology for Economic and Clinical Health (“HITECH”), and their respective implementing regulations impose data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protected health information (“PHI”) for or on behalf of such covered entities. These requirements imposed by HIPAA and HITECH on covered entities and business associates include entering into agreements that require business associates protect PHI provided by the covered entity against improper use or disclosure, among other things; following certain standards for the privacy of PHI, which limit the disclosure of a patient’s past, present, or future physical or mental health or condition or information about a patient’s receipt of health care if the information identifies, or could reasonably be used to identify, the individual; ensuring the confidentiality, integrity, and availability of all PHI created, received, maintained, or transmitted in electronic form, to identify and protect against reasonably anticipated threats or impermissible uses or disclosures to the security and integrity of such PHI; and reporting of breaches of PHI to individuals and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that are found to be in violation of HIPAA may be subject to significant civil, criminal, and administrative fines and penalties and/or additional reporting and oversight obligations if required to enter into a resolution agreement and corrective action plan with the U.S. Department of Health and Human Services (“HHS”) to settle allegations of HIPAA non-compliance. A covered entity or business associate is also liable for civil money penalties for a violation that is based on an act or omission of any of its agents, which may include a downstream business associate, as determined according to the federal common law of agency. HITECH also increased the civil and criminal penalties applicable to covered entities and business associates and gave state attorneys general new authority to file civil actions for damages or injunctions in federal courts to enforce HIPAA and seek attorneys’ fees and costs associated with pursuing federal civil actions. To the extent that Yarrow submits electronic healthcare claims and payment transactions that do not comply with the electronic data transmission standards established under HIPAA and HITECH, payments to us may be delayed or denied.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state health information privacy laws, such as California’s Confidentiality of Medical Information Act and Washington’s My Health My Data Act, that govern the privacy and security of health-related information, specifically, may apply even when HIPAA does not and impose additional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when HIPAA and state health information privacy laws do not apply, according to the FTC and state attorneys general, violating consumers’ privacy rights or failing to take appropriate steps to keep consumers’ personal information secure may constitute unfair acts or practices in or affecting commerce in violation of Section 5(a) of the Federal Trade Commission Act and state consumer protection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state laws, such as the California Consumer Privacy Act of 2018 (“CCPA”), as amended by the California Privacy Rights Act of 2020, govern the privacy and security of personal information, including health-related information in certain circumstances, some of which are more stringent than HIPAA in various ways. Numerous other states have passed similar laws, but many differ from each other in significant ways and may not have the same effect, thus complicating compliance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CCPA applies to personal data of consumers, business representatives, and employees, and imposes obligations on certain businesses that do business in California, including to provide specific disclosures in privacy notices, and affords rights to California residents in relation to their personal information. Health information falls under the CCPA’s definition of personal information where it identifies, relates to, describes, or is reasonably capable of being associated with or could reasonably be linked, directly or indirectly, with a particular consumer or household and is included under a new category of personal information, “sensitive personal information,” which is offered greater protection.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CCPA and numerous other comprehensive privacy laws that have passed or are being considered in other states, as well as at the federal and local levels, exempt PHI that is subject to HIPAA; and others exempt covered entities and business associates subject to HIPAA altogether, further complicating compliance efforts, and increasing legal risk and compliance costs for us and the third parties upon whom Yarrow relies.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Yarrow’s use of artificial intelligence and machine learning may be subject to laws and evolving regulations regarding the use of artificial intelligence and machine learning, controlling for data bias, and antidiscrimination.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Coverage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Yarrow’s ability to successfully commercialize its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it to establish or maintain pricing sufficient to realize a sufficient return on its investment. Government authorities and third-party payors, such as private health insurers and health maintenance organizations, decide which medications they will pay for and establish reimbursement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uncertainty exists as to the coverage and reimbursement status of any pharmaceutical or biological product for which Yarrow obtains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Yarrow’s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Yarrow to provide scientific and clinical support for the use of its product candidates to each payor separately, with no assurance that coverage and adequate reimbursement will be applied consistently or obtained in the first instance. Factors payors consider in determining reimbursement are based on whether the product is:</w:t>
      </w:r>
    </w:p>
    <w:p>
      <w:pPr>
        <w:pStyle w:val="TextBody"/>
        <w:bidi w:val="0"/>
        <w:spacing w:before="0" w:after="0"/>
        <w:ind w:left="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38"/>
        <w:gridCol w:w="125"/>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680" w:type="dxa"/>
            <w:tcBorders/>
            <w:vAlign w:val="center"/>
          </w:tcPr>
          <w:p>
            <w:pPr>
              <w:pStyle w:val="TableContents"/>
              <w:bidi w:val="0"/>
              <w:spacing w:before="0" w:after="283"/>
              <w:jc w:val="left"/>
              <w:rPr/>
            </w:pPr>
            <w:r>
              <w:rPr/>
              <w:t>a covered benefit under its health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8" w:type="dxa"/>
        <w:jc w:val="left"/>
        <w:tblInd w:w="0" w:type="dxa"/>
        <w:tblLayout w:type="fixed"/>
        <w:tblCellMar>
          <w:top w:w="0" w:type="dxa"/>
          <w:left w:w="0" w:type="dxa"/>
          <w:bottom w:w="0" w:type="dxa"/>
          <w:right w:w="0" w:type="dxa"/>
        </w:tblCellMar>
      </w:tblPr>
      <w:tblGrid>
        <w:gridCol w:w="38"/>
        <w:gridCol w:w="12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755" w:type="dxa"/>
            <w:tcBorders/>
            <w:vAlign w:val="center"/>
          </w:tcPr>
          <w:p>
            <w:pPr>
              <w:pStyle w:val="TableContents"/>
              <w:bidi w:val="0"/>
              <w:spacing w:before="0" w:after="283"/>
              <w:jc w:val="left"/>
              <w:rPr/>
            </w:pPr>
            <w:r>
              <w:rPr/>
              <w:t>safe, effective and medically necessary;</w:t>
            </w:r>
          </w:p>
        </w:tc>
      </w:tr>
    </w:tbl>
    <w:p>
      <w:pPr>
        <w:pStyle w:val="TextBody"/>
        <w:bidi w:val="0"/>
        <w:spacing w:before="0" w:after="0"/>
        <w:ind w:left="0" w:right="0" w:hanging="0"/>
        <w:jc w:val="left"/>
        <w:rPr>
          <w:caps w:val="false"/>
          <w:smallCaps w:val="false"/>
        </w:rPr>
      </w:pPr>
      <w:r>
        <w:rPr>
          <w:caps w:val="false"/>
          <w:smallCaps w:val="false"/>
        </w:rPr>
        <w:t> </w:t>
      </w:r>
    </w:p>
    <w:tbl>
      <w:tblPr>
        <w:tblW w:w="1923" w:type="dxa"/>
        <w:jc w:val="left"/>
        <w:tblInd w:w="0" w:type="dxa"/>
        <w:tblLayout w:type="fixed"/>
        <w:tblCellMar>
          <w:top w:w="0" w:type="dxa"/>
          <w:left w:w="0" w:type="dxa"/>
          <w:bottom w:w="0" w:type="dxa"/>
          <w:right w:w="0" w:type="dxa"/>
        </w:tblCellMar>
      </w:tblPr>
      <w:tblGrid>
        <w:gridCol w:w="38"/>
        <w:gridCol w:w="125"/>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760" w:type="dxa"/>
            <w:tcBorders/>
            <w:vAlign w:val="center"/>
          </w:tcPr>
          <w:p>
            <w:pPr>
              <w:pStyle w:val="TableContents"/>
              <w:bidi w:val="0"/>
              <w:spacing w:before="0" w:after="283"/>
              <w:jc w:val="left"/>
              <w:rPr/>
            </w:pPr>
            <w:r>
              <w:rPr/>
              <w:t>cost-effective; and</w:t>
            </w:r>
          </w:p>
        </w:tc>
      </w:tr>
    </w:tbl>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25"/>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3815" w:type="dxa"/>
            <w:tcBorders/>
            <w:vAlign w:val="center"/>
          </w:tcPr>
          <w:p>
            <w:pPr>
              <w:pStyle w:val="TableContents"/>
              <w:bidi w:val="0"/>
              <w:spacing w:before="0" w:after="283"/>
              <w:jc w:val="left"/>
              <w:rPr/>
            </w:pPr>
            <w:r>
              <w:rPr/>
              <w:t>neither experimental nor investigational.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 government, state legislatures and foreign governments have continued implementing cost-containment programs, including price controls, restrictions on coverage and reimbursement and requirements for substitution of generic products. The Inflation Reduction Act of 2022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On August 29, 2023, HHS announced the list of the first ten drugs subject to price negotiations. These price negotiations occurred in 2024. In January 2025, CMS announced a list of 15 additional Medicare Part D drugs that will be subject to price negotiations. The IRA also provides a new “inflation rebate” covering Medicare patients that took effect in 2023 and is intended to counter certain price increases in prescriptions drugs. The inflation rebate provision requires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net prices for drugs may be reduced by mandatory discounts or rebates required by government healthcare programs or private payors and by any future relaxation of laws that presently restrict imports of drugs from countries where they may be sold at lower prices than in the U.S. Increasingly, third-party payors are requiring that drug companies provide them with predetermined discounts from list prices and are challenging the prices charged for medical products. Yarrow cannot be sure that reimbursement will be available for any product candidate that it may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in some foreign countries, the proposed pricing for a drug must be approved before it may be lawfully marketed. The requirements governing drug pricing vary widely from country to country. For example, the European Union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Yarrow’s product candidates. Historically, products launched in the EU do not follow price structures of the U.S. and generally prices tend to be significantly lower.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Reform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initiatives, including those designed to limit the pricing, coverage, and reimbursement of pharmaceutical and biopharmaceutical products, especially under government-funded health care programs, and increased governmental control of drug pricing.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 care programs. Since its enactment, there have been judicial and Congressional challenges to certain aspects of the ACA, and Yarrow expects there will be additional challenges and amendments to the ACA in the future.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2021. In May 2025, the Trump Administration renewed the idea of international reference pricing through an executive order entitled “Delivering Most-Favored-Nation Prescription Drug Pricing to American Patients,” which, among other things, directs the HHS and other agencies to communicate most-favored-nation price targets to pharmaceutical manufacturers to bring prices for U.S. patients in line with comparably developed nations and to facilitate direct-to-consumer purchasing programs. The HHS subsequently issued guidance indicating the MFN target price will be the lowest price paid in an Organisation for Economic Co-operation and Development country with a gross domestic product (“GDP”) per capita of at least 60% of the U.S. GDP per capital. In addition, in December 2025, CMS proposed new drug payment models to lower drug prices for Medicare beneficiaries; under the models, CMS would explore potential adjustments to Medicare drug inflation rebate calculations by comparison to international drug pricing information. It is currently unclear whether and to what extent these measures will be implemented and what impact any such implementation would have on Yarrow’s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IRA, continued legislative and enforcement interest exists in the United States with respect to specialty drug pricing practices. Specifically, Yarrow expects government authorities to continue pushing for transparency to drug pricing, reducing the cost of prescription drugs under Medicare, reviewing the relationship between pricing and manufacturer patient programs, and reforming government program reimbursement methodologies for drugs.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Individual states in the U.S.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Yarrow’s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its drugs or put pressure on its drug pricing, which could negatively affect Yarrow’s business, financial condition,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Government Regulation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regulations in the United States, Yarrow is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its products. Because biologically sourced raw materials are subject to unique contamination risks, their use may be restricted in some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Yarrow obtains FDA approval for a product, it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pricing review period often begins after market approval is granted. Even if a product is approved by a regulatory authority, satisfactory prices may not be approved for such product, which would make launch of such products commercially unfeasible in such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in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European Data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processing of personal data, including health-related personal data in the European Economic Area (“EEA”) is mainly governed by the provisions of the European General Data Protection Regulation (EU) 2016/679 (“GDPR”), and related data protection laws in individual EEA countries. In the United Kingdom, the processing of personal data is mainly governed by the GDPR as incorporated into UK law pursuant to the European Union (Withdrawal) Act 2018 (the “UK GDPR”). The GDPR and UK GDPR impose a number of strict obligations and requirements for the processing, including collecting, analyzing and transferring, of personal data of individuals in the EEA or in the UK, in particular with respect to health data from clinical trials and adverse event reporting. The GDPR and UK GDPR include requirements relating to the legal basis of the processing (such as consent of the individuals to whom the personal data relates), the information provided to the individuals prior to processing their personal data, the personal data breaches which may have to be notified to the national data protection authorities and data subjects, the measures to be taken when engaging processors, and obligations relating to the security and confidentiality of the personal data. EEA countries may also impose additional requirements in relation to the processing of health, genetic and biometric data through their national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GDPR imposes specific restrictions on the transfer of personal data to countries outside of the EEA that are not considered by the European Commission (“EC”) to provide an adequate level of data protection. Appropriate safeguards are required to enable such transfers. Among the appropriate safeguards that can be used, the data exporter may use the standard contractual clauses (“SCCs”). When relying on the appropriate safeguards, data exporters, with the assistance of the data importers, are also required to conduct a transfer risk assessment to verify if anything in the law and/or practices of the third country may impinge on the effectiveness of the safeguards in the context of the transfer at stake and, if so, to identify and adopt supplementary measures that are necessary to bring the level of protection of the data transferred to the EU standard of essential equivalence. Where no supplementary measure is suitable, the data exporter should avoid, suspend or terminate the transfer. With regard to the transfer of data from the EEA to the United States, on July 10, 2023, the EC adopted its adequacy decision for the EU-US Data Privacy Framework. On the basis of the new adequacy decision, personal data can flow from the EEA to U.S. companies participating in the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regard to the transfer of data from the EEA to the UK, based on the EC’s adequacy decision of June 28, 2021 and subsequent renewals, personal data may continue to flow freely from the EEA to the UK on the basis that the UK is deemed to provide an adequate level of data protection until December 27, 2031. The adequacy decisions will automatically expire unless renewed.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transfers from the UK to other countries, these transfers are also subject to specific transfer rules under the UK regime. These UK international transfer rules broadly mirror the EU GDPR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2022, the UK Secretary of State laid before the UK Parliament the international data transfer agreement (“IDTA”) and the international data transfer addendum to the EC’s standard contractual clauses for international data transfers (“UK Addendum”) and a document setting out transitional provisions. The IDTA and UK Addendum came into force on March 21, 2022 and are the primary UK-approved mechanisms for putting in place appropriate safeguards for UK restricted transfers, subject to transitional arrangements for legacy SCCs. Regarding transfers from the UK to the EEA, the UK Information Commissioner’s Office (“ICO”) guidance indicates that organizations do not need new arrangements. With regard to the transfer of personal data from the UK to the United States, the UK government has adopted an adequacy decision for the UK Extension to the EU-US Data Privacy Framework, the UK-US Data Bridge, which came into force on October 12, 2023. The UK-US Data Bridge recognizes the United States as offering an adequate level of data protection where the recipient is a U.S. organization certified to the EU-US Data Privacy Framework and participating in the UK Extension to the EU-US Data Privacy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 requirements of the GDPR or UK GDPR and the related national data protection laws of the EEA countries may result in significant monetary fines for noncompliance of up to €20 million or £17.5 million (as applicable), 4% of the total worldwide annual turnover (for higher-tier infringements). This is enforced by ICO and is entirely separate from fines under EU GDPR. In addition, violations of national laws can trigger additional, administrative penalties, investigations, corrective orders, temporary or definitive bans, and, in some jurisdictions, and a number of criminal offenses for organizations and, in certain cases, their directors and officers, as well as civil liability claims from individuals whose personal data was processed.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protection authorities from the different EEA countries may still implement certain variations, enforce the GDPR and national data protection laws differently, and introduce additional national regulations and guidelines, which adds to the complexity of processing personal data in the EEA.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there are specific requirements relating to processing health data from clinical trials, including public disclosure obligations provided in the EU Clinical Trials Regulation No. 536/2014 (“CTR”), European Medicines Agency (“EMA”) disclosure initiatives and voluntary commitments by industry. Failure to comply with these obligations could lead to government enforcement actions and significant penalties against us, harm to Yarrow’s reputation, and adversely impact its business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Drug and Biologic Development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Regardless of where they are conducted, all clinical trials included in applications for marketing authorization (“MA”) for human medicines in the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CTR, which entered into force on January 31, 2022. The CTR replaced the Clinical Trials Directive 2001/20/EC, (“Clinical Trials Directive”) and introduced a complete overhaul of the existing regulation of clinical trials for medicinal products in the 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CTR, a sponsor is able to submit a single application for approval of a clinical trial through a centralized EU clinical trials portal (the Clinical Trials Information System or “CTIS”). One national regulatory authority (the reporting EU member state proposed by the applicant) will take the lead in validating and evaluating the application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including a layperson’s summary. Since January 31, 2023, submission of initial clinical trial applications via CTIS is mandatory and CTIS serves as the single entry point for submission of clinical trial-related information and data. As of January 31, 2025, all ongoing trials approved under the former Clinical Trials Directive need to comply with the CTR and have to be transitioned to CTIS.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CTR, national laws, regulations, and the applicable GCP and GLP standards must also be respected during the conduct of the trials, including the International Council for Harmonization of Technical Requirements for Pharmaceuticals for Human Use (“ICH”) guidelines on Good Clinical Practice and the ethical principles that have their origin in the Declaration of Helsinki. Under the current regime all suspected unexpected serious adverse reactions to the investigated drug that occur during the clinical trial must be reported to the National Competent Authority and to the Ethics Committees of the EU member state where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development of a medicinal product, the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Drug Marketing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EEA, after completion of all required clinical testing, pharmaceutical products may only be placed on the market after obtaining a MA. To obtain an MA of a drug under European Union regulatory systems, an applicant can submit an MAA through, amongst others, a centralized or decentralized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used or sold in the UK, a drug must have an effective MA granted by the Medicines and Healthcare Products Regulatory Agency (“MHRA”) under the Human Medicines Regulations 2012 (SI 2012/1916), as amended. MA applications are submitted electronically via the MHRA Submissions Portal. Under the MHRA’s national assessment procedure, the MHRA generally aims to reach a decision within 210 “clock-on” days, excluding any “clock-stops” while the applicant prepares responses to MHRA questions.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2023, the MHRA published detailed guidance on its recently announced new International Recognition Procedure (“IRP”) for MAAs. The IRP applies since January 1, 2024 and replaces existing EU reliance procedures to apply for authorizations from seven international regulators (e.g. Health Canada, Swiss Medic, FDA, EMA, among others). The IRP allows medicinal products approved in other jurisdictions that meet certain criteria to undergo a fast-tracked MHRA review to obtain and/or update a MA in the UK. Applicants can submit initial MAAs to the IRP but the procedure can also be used throughout the lifecycle of a product for post-authorization procedures including line extensions, variations and renewals.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Centralized Authorization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centralized procedure provides for the grant of a single MA that is issued by the EC following the scientific assessment of the application by the European Medicines Agency (“EMA”) that is valid for all EU Member States as well as in the three additional EEA Member States (Norway, Iceland and Liechtenstein). The centralized procedure is compulsory for specific medicinal products, including for medicines developed by means of certain biotechnological processes, products designated as orphan medicinal products, advanced therapy medicinal products (gene therapy, somatic cell therapy, or tissue engineered medicines) and medicinal products with a new active substance indicated for the treatment of certain diseases (HIV/AIDS, cancer, neurodegenerative disorders, diabetes, auto-immune diseases and other immune dysfunctions,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 through the centralized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centralized procedure, the CHMP is responsible for conducting the initial assessment of a drug. The CHMP is also responsible for several post-authorization and maintenance activities, such as the assessment of modifications or extensions to an existing MA.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Decentralized Authorization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 (mutual recognition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new MAAs must include a Risk Management Plan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Since October 20, 2023, all RMPs for centrally authorized products are published by the EMA, subject only to limited redactions.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 Validity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authorization which is not followed by the actual placing of the drug on the EU market (in case of centralized procedure) or on the market of the authorizing member state within three years after authorization ceases to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UK, the period of three years during which the drug has not been marketed in Great Britain will be restarted from the date of conversion to a Great Britain MA. Following Windsor Framework changes, which became effective January 1, 2025, European Commission Union authorizations are no longer valid in Northern Ireland and centrally authorized products are instead authorized by the MHRA under UK-wide marketing authorizations; existing licenses for product licensed by the MHRA that covers Great Britain only become geographically valid UK-wide while retaining their license number/prefix.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other hand, for the EU, in the case the drug has been marketed in the UK, the placing on the UK market before the end of the period starting when the UK left the EU on January 31, 2020 and ending on December 31, 2020 (the “Brexit Transition Period”) will be taken into account. If, after the end of the Brexit Transition Period, the drug is not placed on any other market of the remaining member states of the EU, the three year period will start running from the last date the drug was placed on the UK market before the end of the Brexit Transition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Exceptional Circumstances/Conditional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Once a conditional MA has been granted, the MA holder must fulfil specific obligations within defined timelines. A conditional MA is valid for one year and must be renewed annually, but it can be converted into a standard MA once the MA holder fulfils the obligations imposed and the complete data confirm that the medicine’s benefits continue to outweigh its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and Market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Innovative medicinal products, referred to as New Chemical Entities (“NCEs”) approved in the EU qualify for eight years of data exclusivity and 10 years of marketing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data exclusivity period begins on the date of the product’s first MA in the EU. After eight years, a generic product application may be submitted and generic companies may rely on the MA holder’s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classification of the same substance the competent authority will not refer to the results of those tests or trials for one year after the initial change was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may not be granted data exclusivity since there is no guarantee that a product will be considered by the EU’s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26, 2023, the EC submitted a proposal for the reform of the European pharmaceutical legislation and negotiations are still ongoing. The timing for finalization of these negotiations and entry into force are unclear.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drafts envisage: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 shortening of the periods of data exclusivity from eight to six years (with transferrable vouchers for an additional year of market protection as an incentive for the development of new antibiotics),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earlier regulatory guidance and extension of market exclusivity for orphan medicines (depending on certain conditions),</w:t>
            </w:r>
          </w:p>
        </w:tc>
      </w:tr>
    </w:tbl>
    <w:p>
      <w:pPr>
        <w:pStyle w:val="TextBody"/>
        <w:bidi w:val="0"/>
        <w:spacing w:before="0" w:after="0"/>
        <w:ind w:left="0" w:right="0" w:hanging="0"/>
        <w:jc w:val="left"/>
        <w:rPr>
          <w:caps w:val="false"/>
          <w:smallCaps w:val="false"/>
        </w:rPr>
      </w:pPr>
      <w:r>
        <w:rPr>
          <w:caps w:val="false"/>
          <w:smallCaps w:val="false"/>
        </w:rPr>
        <w:t> </w:t>
      </w:r>
    </w:p>
    <w:tbl>
      <w:tblPr>
        <w:tblW w:w="7383" w:type="dxa"/>
        <w:jc w:val="left"/>
        <w:tblInd w:w="0" w:type="dxa"/>
        <w:tblLayout w:type="fixed"/>
        <w:tblCellMar>
          <w:top w:w="0" w:type="dxa"/>
          <w:left w:w="0" w:type="dxa"/>
          <w:bottom w:w="0" w:type="dxa"/>
          <w:right w:w="0" w:type="dxa"/>
        </w:tblCellMar>
      </w:tblPr>
      <w:tblGrid>
        <w:gridCol w:w="38"/>
        <w:gridCol w:w="125"/>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220" w:type="dxa"/>
            <w:tcBorders/>
            <w:vAlign w:val="center"/>
          </w:tcPr>
          <w:p>
            <w:pPr>
              <w:pStyle w:val="TableContents"/>
              <w:bidi w:val="0"/>
              <w:spacing w:before="0" w:after="283"/>
              <w:jc w:val="left"/>
              <w:rPr/>
            </w:pPr>
            <w:r>
              <w:rPr/>
              <w:t>four-year data exclusivity for additional indications of existing products,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rules governing the availability of products (including shortage prevention plans and some supply obligations for manufacturers).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Orphan Designation and Exclusivity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criteria for designating an orphan medicinal product in the EU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 (prevalence criterion). In addition, Orphan Drug Designation can be granted if, for economic reasons, the medicinal product would be unlikely to be developed without incentives and if there is no other satisfactory method approved in the EU of diagnosing, preventing, or treating the condition, or if such a method exists, the proposed medicinal product is a significant benefit to patients affected by the condition. An application for orphan drug designation (which is not a MA, as not all orphan-designated medicines reach the authorization application stage) must be submitted first before an application for MA of the medicinal product is submitted. The applicant will receive a fee reduction for the MAA if the orphan drug designation has been granted, but not if the designation is still pending at the time the MA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EMA’s Committee for Orphan Medicinal Products (“COMP”) reassesses the orphan drug designation of a product in parallel with the review for a MA; for a product to benefit from market exclusivity it must maintain its orphan drug designation at the time of MA review by the EMA and approval by the EC. Additionally, any MA granted for an orphan medicinal product must only cover the therapeutic indication(s) that are covered by the orphan drug designation. Upon the grant of a MA, orphan drug designation provides up to ten years of market exclusivity in the orphan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10-year period of market exclusivity, with a limited number of exceptions, the regulatory authorities of the EU Member States and the EMA may not accept applications for MA, accept an application to extend an existing MA or grant a MA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 MA may be granted to a similar medicinal product (orphan or not) for the same or overlapping indication subject to certain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UK, following the post-Brexit transition period, a system for incentivizing the development of orphan medicines was introduced. Overall, the requirements for orphan designation largely replicate the requirements in the EU and the benefit of market exclusivity has been retained. Products with an orphan designation in the EU can be considered for an orphan MA in Great Britain and, marketing authorizations granted for products that fulfil UK orphan criteria are valid UK-wide regardless of whether there is an EU orphan designation. The MHRA will review applications for orphan designation at the time of a MA, and will offer incentives, such as market exclusivity and full or partial refunds for MA fees to encourage the development of medicines in rare diseases. Separately, the MHRA has stated that it is considering updating its licensing framework for orphan medicines, with a draft framework expected by spring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Pediatric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companies developing a new medicinal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 MA on the basis of the pediatric clinical trials conducted in accordance with the approved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UK, the MHRA has published guidance on the procedures for UK PIPs which, where possible, mirror the submission format and requirements of the EU system. From January 1, 2025, EU pediatric requirements are addressed via Windsor Framework categorization: for Category 2 products, both UK and EU pediatric requirements apply, and an EU-agreed PIP must also be in place (unless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PRIME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Post-Approval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MAs. It includes control of compliance with EU good manufacturing practices rules, manufacturing authorizations, pharmacovigilance rules and requirements governing advertising, promotion, sale, and distribution, recordkeeping, importing and exporting of medicinal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Yarrow or by any of its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of a MA for a medicinal product must also comply with EU pharmacovigilance legislation and its related regulations and guidelines, which entail many requirements for conducting pharmacovigilance, or the assessment and monitoring of the safety of medicinal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Yarrow’s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 in relation to medicinal products for which they hold 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4 safety studies. If the EC agrees with the opinion, it can adopt a decision varying the existing MA. Failure by the MA holder to fulfill the obligations for which the EC’s decision provides can undermine the ongoing validity of the 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generally, non-compliance with pharmacovigilance obligations can lead to the variation, suspension or withdrawal of the MA for the product or imposition of financial penalties or other enforcement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manufacturing process for pharmaceutical products in the EU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(repealed by Directive 2017/1572 on January 31, 2022),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 with the intention to import the active pharmaceutical ingredients into the EU. Amendments or replacements of at least Directive 2001/83/EC and Regulation (EC) No 726/2004 are part of the reform proposal for European pharmaceutical legislation.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 or for use in a clinical trial. Manufacturing facilities are subject to periodic inspections by the competent authorities for compliance with GMP.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27, 2025, the Council of the EU approved a framework for compulsory licensing of crisis-relevant products (including medicinal products) in crisis situations. While the proposal focuses on voluntary agreements with intellectual property rights holders, it includes rules on compulsory licensing as a measure of last resort upon activation / declaration of a crisis or emergency mode. The European Parliament has not yet voted on the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advertising and promotion of Yarrow’s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SmPC is the document that provides information to physicians concerning the safe and effective use of the medicinal product. It forms an intrinsic and integral part of the MA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 could be penalized by administrative measures, fines and imprisonment. These laws may further limit or restrict the advertising and promotion of Yarrow’s products to the general public and may also impose limitations on its promotional activities with healthcare professionals.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 regulation with regards to dispensing, sale and purchase of medicines has generally been preserved in the UK following Brexit, through the Human Medicines Regulations 2012. However, organizations wishing to sell medicines online need to register with the MHRA. Following Brexit, the requirements to display the common logo no longer apply to UK-based online sellers, except for those established in Northern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Anti-Corruption Legislation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of the EU Member States. Violation of these laws could result in substantial fines and imprisonment.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UK, the pharmaceutical sector is recognized as being particularly vulnerable to corrupt practices, some of which fall within the scope of the Bribery Act 2010. Due to the Bribery Act 2010’s far-reaching territorial application, the potential penalized act does not have to occur in the UK to become within its scope. If the act or omission does not take place in the UK, but the person’s act or omission would constitute an offense if carried out there and the person has a close connection with the UK, an offense will still have been committed. The Bribery Act 2010 is comprised of four offenses that cover (i) individuals, companies and partnerships that give, promise or offer bribes, (ii) individuals, companies and partnerships that request, agree to receive or accept bribes, (iii) individuals, companies and partnerships that bribe foreign public officials, and (iv) companies and partnerships that fail to prevent persons acting on their behalf from paying bribes. The penalties imposed under the Bribery Act 2010 depend on the offence committed, harm and culpability and penalties range from unlimited fines to imprisonment for a maximum term of ten years and in some cases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Regulations in the UK and Other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formally left the EU on January 31, 2020 and EU laws now only apply to the UK in respect of Northern Ireland as laid out in the protocol on Ireland and Northern Ireland and as amended by the Windsor Framework sets out a long-term set of arrangements for the supply of medicines into Northern Ireland. The EU and the UK agreed on a trade and cooperation agreement, which includes provisions affecting the life sciences sector (including on customs and tariffs). There are some specific provisions concerning pharmaceuticals, including the mutual recognition of GMP, inspections of manufacturing facilities for medicinal products and GMP issued documents. The TCA does not, however, contain wholesale mutual recognition of UK and EU pharmaceutical regulations and product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UK government has adopted the Medicines and Medical Devices Act 2021 (“the MMDA”) to enable the UK’s regulatory frameworks to be updated following the UK’s departure from the EU. The MMDA introduces regulation-making, delegated powers covering the fields of human medicines, clinical trials of human medicines, veterinary medicines and medical devices. The MHRA has since been consulting on future regulations for medicines and medical devices in the UK.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countries outside of the EU,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Yarrow fails to comply with applicable foreign regulatory requirements, it may be subject to, among other things, fines, suspension of clinical trials, suspension or withdrawal of regulatory approvals, product recalls, seizure of products, operating restrictions and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local, state and federal laws, including in the United States and Israel, regarding such matters as safe working conditions, manufacturing practices, environmental protection, fire hazard control and hazardous substances, including the Occupational Safety and Health Act, the Resource Conservancy and Recovery Act and the Toxic Substances Control Act, affect Yarrow’s business. These and other laws govern Yarrow’s use, handling and disposal of various biological, chemical and radioactive substances used in, and wastes generated by, Yarrow’s operations. If Yarrow’s operations result in contamination of the environment or expose individuals to hazardous or biohazardous substances, Yarrow could be liable for damages, environmental remediation, and/or governmental fines. Yarrow believes that it is in material compliance with applicable environmental laws and occupational health and safety laws that continued compliance therewith will not have a material adverse effect on its business. Yarrow cannot predict, however, how changes in these laws may affect its future operations. Yarrow may incur significant costs to comply with such laws and regulations now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 and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Yarrow is a primarily remote company and does not maintain a physical headquarters. Yarrow believes this arrangement supports its current and near-term future anticipated needs. For administrative and coworking purposes, Yarrow leases office space at 470 James Street, Suite 007, New Haven CT 06513. As Yarrow expands, it believes that suitable additional alternative spaces will be available in the future on commercially reasonable terms,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Yarrow may be involved in legal proceedings arising in the ordinary course of its business. Yarrow is not presently a party to or aware of any legal proceedings that, in the opinion of management, would have, individually or in the aggregate, a material adverse effect on its business, financial condition or results of operations. Regardless of outcome, litigation can have an adverse impact on Yarrow due to defense and settlement costs, diversion of management resources, negative publicity and reputational harm,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31918</Words>
  <Characters>179266</Characters>
  <CharactersWithSpaces>211328</CharactersWithSpaces>
  <Paragraphs>1067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