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Yarrow Bioscience,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Bellevue Group AG</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1,000,000.00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1,000,000.00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10.6 %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of beneficial ownership contained herein are based on 9,437,693 shares of Common Stock outstanding as of September 14, 2026 (after giving effect to the closing of an equity offering by the Issuer on such date), as reported by the Issuer in its Prospectus Supplement filed with the SEC on September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Bellevue Asset Management AG</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1,000,000.00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1,000,000.00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10.6 %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of beneficial ownership contained herein are based on 9,437,693 shares of Common Stock outstanding as of September 14, 2026 (after giving effect to the closing of an equity offering by the Issuer on such date), as reported by the Issuer in its Prospectus Supplement filed with the SEC on September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Yarrow Bioscience,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 James Street, Suite 007, New Haven, CT 06513</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Bellevue Group AG ("Bellevue") on behalf of its wholly-owned subsidiary, Bellevue Asset Management AG ("BAM AG")</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Bellevue: Theaterstrasse 12, Zurich, Switzerland, CH-8001 BAM AG: Theaterstrasse 12, Zurich, Switzerland, CH-8001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Bellevue: Switzerland BAM AG: Switzerland</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0"/>
              <w:jc w:val="left"/>
              <w:rPr/>
            </w:pPr>
            <w:r>
              <w:rPr/>
              <w:t>Swiss Financial Market Supervisory Authority (FINMA)</w:t>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1,000,000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10.6%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statement is filed jointly by Bellevue and BAM AG. BAM AG is a wholly-owned subsidiary of Bellevue.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Bellevue Group AG</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Stefano Montalbano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Stefano Montalbano/ Chief Financial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3"/>
        <w:gridCol w:w="4172"/>
      </w:tblGrid>
      <w:tr>
        <w:trPr/>
        <w:tc>
          <w:tcPr>
            <w:tcW w:w="60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Christoph Eisenring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Christoph Eisenring/ Head Legal &amp;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172"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Bellevue Asset Management AG</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3"/>
        <w:gridCol w:w="4172"/>
      </w:tblGrid>
      <w:tr>
        <w:trPr/>
        <w:tc>
          <w:tcPr>
            <w:tcW w:w="60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Christoph Eisenring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Christoph Eisenring/ Head Legal &amp;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1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Ivo Betschart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Ivo Betschart/Chief Finance &amp; Controlling</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1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1106</Words>
  <Characters>5864</Characters>
  <CharactersWithSpaces>6929</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