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Yarrow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59,000.00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59,000.00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59,000 shares of common stock, par value $0.0001 per share ("Common Stock"), of Yarrow Bioscience, Inc. (the "Issuer") owned directly by private investment funds managed by ADAR1 Capital Management, LLC. Such securities may be deemed to be indirectly beneficially owned by ADAR1 Capital Management, LLC. The percentage in box 11 is based on 668,327 shares of Common Stock outstanding as of June 30, 2026, as reported in the Issuer's Quarterly Report on Form 10-Q for the quarterly period ended June 30, 2026, filed with the Securities and Exchange Commission on August 13,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59,000.00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59,000.00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59,000 shares of common stock, par value $0.0001 per share ("Common Stock"), of Yarrow Bioscience, Inc. (the "Company") owned directly by private investment funds managed by ADAR1 Capital Management, LLC. Such securities may be deemed to be indirectly beneficially owned by Daniel Schneeberger, the sole manager of ADAR1 Capital Management, LLC. The percentage in box 11 is based on 668,327 shares of Common Stock outstanding as of June 30, 2026, as reported in the Company's Quarterly Report on Form 10-Q for the quarterly period ended June 30, 2026, filed with the Securities and Exchange Commission on August 13,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Yarrow Bioscience,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Suite 007, New Haven, CT 06513</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23241d16_ex99-a.htm"/>
      <w:bookmarkStart w:id="21" w:name="kstm2623241d16_ex99a"/>
      <w:bookmarkEnd w:id="20"/>
      <w:bookmarkEnd w:id="21"/>
      <w:r>
        <w:rPr/>
        <w:t> </w:t>
      </w:r>
      <w:r>
        <w:br w:type="page"/>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par value $0.0001, of Yarrow Bioscience, Inc., and further agree that this Joint Filing Agreement be included as an Exhibit to such joint filings.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August 14, 2026.</w:t>
      </w:r>
    </w:p>
    <w:p>
      <w:pPr>
        <w:pStyle w:val="TextBody"/>
        <w:bidi w:val="0"/>
        <w:spacing w:before="0" w:after="0"/>
        <w:ind w:left="0" w:right="0" w:hanging="0"/>
        <w:jc w:val="center"/>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Schneeberger</w:t>
            </w:r>
            <w:r>
              <w:rPr>
                <w:rFonts w:ascii="Times New Roman;Times;Serif" w:hAnsi="Times New Roman;Times;Serif"/>
                <w:b w:val="false"/>
                <w:i w:val="false"/>
                <w:caps w:val="false"/>
                <w:smallCaps w:val="false"/>
                <w:sz w:val="20"/>
              </w:rPr>
              <w:t>, in his individual 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1444</Words>
  <Characters>7619</Characters>
  <CharactersWithSpaces>9040</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