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Yarrow Bioscience,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venBio Global Strategic Fund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279,340.00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279,340.00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279,340.00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venBio Global Strategic GP V,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279,340.00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279,340.00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279,340.00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Yarrow Bioscience,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Street, Suite 007,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the following persons (each a "Reporting Person" and together the "Reporting Persons"): i. venBio Global Strategic Fund V, L.P. ("Fund V"); and ii. venBio Global Strategic GP V, LLC ("General Partner V"). Each of Aaron Royston ("Dr. Royston"), Corey Goodman ("Dr. Goodman"), and Richard Gaster ("Dr. Gaster") is a member of General Partner V but, in reliance on the "rule of three," disclaims beneficial ownership over the shares of Common Stock reported herein as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Reporting Person is 1700 Owens Street, Suite 595,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i. Fund V is a Delaware partnership; and ii. General Partner V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July 27, 2026, each of the Reporting Persons may have been deemed to beneficially own 294,139 shares of Common Stock. This amount consists of (i) 152,881 shares of Common Stock directly held by Fund V and (ii) 141,258 shares of Common Stock that Fund V had the right to acquire within 60 days of July 27, 2026, upon the exercise of pre-funded warrants (the "Pre-Funded Warrants"), subject to the Blocker (as defined herein). As of the date hereof, each of the Reporting Persons may be deemed to beneficially own 279,340 shares of Common Stock. This amount consists of (i) 152,881 shares of Common Stock directly held by Fund V and (ii) 126,459 shares of Common Stock that Fund V has the right to acquire within 60 days upon the exercise of Pre-Funded Warrants, subject to the Blocker. Fund V directly holds 1,971,764 Pre-Funded Warrants. However, pursuant to the terms of the Pre-Funded Warrants, Fund V shall not have the right to exercise any portion of the Pre-Funded Warrants to the extent that any such exercise would result in the Reporting Persons and their affiliates, if acting as a group and required to aggregate their beneficial ownership of Common Stock pursuant to Section 13(d) of the Securities Exchange Act of 1934, as amended (the "Exchange Act"), owning more than 9.99% of the issued and outstanding shares of Common Stock immediately after giving effect to such exercise, subject to a potential increase up to a 19.99% cap provided that any increase will not be effective until the 61st day after written notice of such increase is delivered to the Issuer (the "Blocker").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July 27, 2026, and the date hereof, each of the Reporting Persons may be deemed to beneficially own approximately 9.99% of the shares of Common Stock outstanding. The amount and percent of class beneficially owned as of July 27, 2026, is based on the sum of (i) 2,803,078 shares of Common Stock outstanding as of July 27, 2026, as reported in the Issuer's current report on Form 8-K filed with the Securities and Exchange Commission on July 28, 2026, and (ii) 141,258 shares of Common Stock that Fund V had the right to acquire within 60 days of July 27, 2026, upon the exercise of Pre-Funded Warrants, subject to the Blocker, which shares are added to the total shares of Common Stock outstanding for purposes of calculating the Reporting Persons' beneficial ownership percentage in accordance with Rule 13d-3(d)(1)(i) under the Exchange Act. The amount and percent of class beneficially owned as of the date hereof is based on the sum of (i) 2,669,746 shares of Common Stock outstanding as of August 10, 2026, as reported in the Issuer's quarterly report on Form 10-Q filed with the Securities and Exchange Commission on August 13, 2026, and (ii) 126,459 shares of Common Stock that Fund V has the right to acquire within 60 days upon the exercise of Pre-Funded Warrants, subject to the Blocker, which shares are added to the total shares of Common Stock outstanding for purposes of calculating the Reporting Persons' beneficial ownership percentage in accordance with Rule 13d-3(d)(1)(i) under the Exchange Act.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279,340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279,340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venBio Global Strategic Fund V, L.P.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8"/>
        <w:gridCol w:w="4147"/>
      </w:tblGrid>
      <w:tr>
        <w:trPr/>
        <w:tc>
          <w:tcPr>
            <w:tcW w:w="60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David Pezeshki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David Pezeshki, as attorney-in-fact for Aaron Royston, Corey Goodman, and Richard Gaster, Members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47"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venBio Global Strategic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0"/>
        <w:gridCol w:w="4145"/>
      </w:tblGrid>
      <w:tr>
        <w:trPr/>
        <w:tc>
          <w:tcPr>
            <w:tcW w:w="60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Pezeshki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Pezeshki, as attorney-in-fact for Aaron Royston, Corey Goodman, and Richard Gaster, Members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This Schedule 13G was executed by David Pezeshki on behalf of the individuals listed above pursuant to a Power of Attorney, copies of which are attached as Exhibit 2 and Exhibit 3 to the Schedule 13G.</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1: Joint Filing Agreement Exhibit 2: Power of Attorney regarding filings under the Exchange Act Exhibit 3: Power of Attorney regarding filings under the Exchange Act</w:t>
            </w:r>
          </w:p>
        </w:tc>
      </w:tr>
    </w:tbl>
    <w:p>
      <w:pPr>
        <w:pStyle w:val="TextBody"/>
        <w:bidi w:val="0"/>
        <w:spacing w:before="0" w:after="0"/>
        <w:jc w:val="right"/>
        <w:rPr/>
      </w:pPr>
      <w:bookmarkStart w:id="20" w:name="jointfilingagreement.htm"/>
      <w:bookmarkStart w:id="21" w:name="ksjointfilingagreement"/>
      <w:bookmarkEnd w:id="20"/>
      <w:bookmarkEnd w:id="21"/>
      <w:r>
        <w:rPr>
          <w:b/>
          <w:color w:val="000000"/>
          <w:sz w:val="22"/>
        </w:rPr>
        <w:t>EXHIBIT 1</w:t>
      </w:r>
      <w:r>
        <w:rPr/>
        <w:t xml:space="preserve"> </w:t>
      </w:r>
      <w:r>
        <w:br w:type="page"/>
      </w:r>
    </w:p>
    <w:p>
      <w:pPr>
        <w:pStyle w:val="TextBody"/>
        <w:bidi w:val="0"/>
        <w:spacing w:before="0" w:after="0"/>
        <w:jc w:val="righ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b/>
          <w:color w:val="000000"/>
          <w:sz w:val="22"/>
        </w:rPr>
        <w:t>JOINT FILING AGREEMENT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sz w:val="22"/>
        </w:rPr>
        <w:t>The undersigned hereby agree that the statement on Schedule 13G with respect to the Common Stock of Yarrow Bioscience, Inc., dated as of August 14, 2026, is, and any amendments thereto (including amendments on Schedule 13D) signed by each of the undersigned shall be, filed on behalf of each of us pursuant to and in accordance with the provisions of Rule 13d-1(k) under the Securities Exchange Act of 1934, as amended.</w:t>
      </w:r>
      <w:r>
        <w:rPr/>
        <w:t xml:space="preserve"> </w:t>
      </w:r>
    </w:p>
    <w:p>
      <w:pPr>
        <w:pStyle w:val="TextBody"/>
        <w:bidi w:val="0"/>
        <w:spacing w:before="0" w:after="0"/>
        <w:jc w:val="left"/>
        <w:rPr/>
      </w:pPr>
      <w:r>
        <w:rPr/>
        <w:t xml:space="preserve">  </w:t>
      </w:r>
    </w:p>
    <w:tbl>
      <w:tblPr>
        <w:tblW w:w="7724" w:type="dxa"/>
        <w:jc w:val="left"/>
        <w:tblInd w:w="0" w:type="dxa"/>
        <w:tblLayout w:type="fixed"/>
        <w:tblCellMar>
          <w:top w:w="28" w:type="dxa"/>
          <w:left w:w="28" w:type="dxa"/>
          <w:bottom w:w="28" w:type="dxa"/>
          <w:right w:w="28" w:type="dxa"/>
        </w:tblCellMar>
      </w:tblPr>
      <w:tblGrid>
        <w:gridCol w:w="2431"/>
        <w:gridCol w:w="646"/>
        <w:gridCol w:w="4396"/>
        <w:gridCol w:w="251"/>
      </w:tblGrid>
      <w:tr>
        <w:trPr/>
        <w:tc>
          <w:tcPr>
            <w:tcW w:w="24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9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color w:val="000000"/>
                <w:sz w:val="22"/>
              </w:rPr>
              <w:t>Dated: August 14, 2026</w:t>
            </w:r>
            <w:r>
              <w:rPr/>
              <w:t xml:space="preserve"> </w:t>
            </w:r>
          </w:p>
        </w:tc>
        <w:tc>
          <w:tcPr>
            <w:tcW w:w="5042" w:type="dxa"/>
            <w:gridSpan w:val="2"/>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5042" w:type="dxa"/>
            <w:gridSpan w:val="2"/>
            <w:tcBorders/>
            <w:vAlign w:val="center"/>
          </w:tcPr>
          <w:p>
            <w:pPr>
              <w:pStyle w:val="TableContents"/>
              <w:bidi w:val="0"/>
              <w:spacing w:before="0" w:after="0"/>
              <w:jc w:val="left"/>
              <w:rPr/>
            </w:pPr>
            <w:r>
              <w:rPr>
                <w:color w:val="000000"/>
                <w:sz w:val="22"/>
              </w:rPr>
              <w:t>VENBIO GLOBAL STRATEGIC FUND V, L.P.</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5042" w:type="dxa"/>
            <w:gridSpan w:val="2"/>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By:</w:t>
            </w:r>
            <w:r>
              <w:rPr/>
              <w:t xml:space="preserve"> </w:t>
            </w:r>
          </w:p>
        </w:tc>
        <w:tc>
          <w:tcPr>
            <w:tcW w:w="4396" w:type="dxa"/>
            <w:tcBorders/>
            <w:vAlign w:val="center"/>
          </w:tcPr>
          <w:p>
            <w:pPr>
              <w:pStyle w:val="TableContents"/>
              <w:bidi w:val="0"/>
              <w:spacing w:before="0" w:after="0"/>
              <w:jc w:val="left"/>
              <w:rPr/>
            </w:pPr>
            <w:r>
              <w:rPr>
                <w:color w:val="000000"/>
                <w:sz w:val="22"/>
              </w:rPr>
              <w:t>VENBIO GLOBAL STRATEGIC GP V, LLC</w:t>
            </w:r>
            <w:r>
              <w:rPr/>
              <w:t xml:space="preserve"> </w:t>
            </w:r>
          </w:p>
          <w:p>
            <w:pPr>
              <w:pStyle w:val="TableContents"/>
              <w:bidi w:val="0"/>
              <w:spacing w:before="0" w:after="0"/>
              <w:jc w:val="left"/>
              <w:rPr/>
            </w:pPr>
            <w:r>
              <w:rPr>
                <w:color w:val="000000"/>
                <w:sz w:val="22"/>
              </w:rPr>
              <w:t>General Partner</w:t>
            </w:r>
            <w:r>
              <w:rPr/>
              <w:t xml:space="preserve"> </w:t>
            </w:r>
          </w:p>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5042" w:type="dxa"/>
            <w:gridSpan w:val="2"/>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5042" w:type="dxa"/>
            <w:gridSpan w:val="2"/>
            <w:tcBorders/>
            <w:vAlign w:val="center"/>
          </w:tcPr>
          <w:p>
            <w:pPr>
              <w:pStyle w:val="TableContents"/>
              <w:bidi w:val="0"/>
              <w:spacing w:before="0" w:after="0"/>
              <w:jc w:val="left"/>
              <w:rPr/>
            </w:pPr>
            <w:r>
              <w:rPr>
                <w:color w:val="000000"/>
                <w:sz w:val="22"/>
              </w:rPr>
              <w:t>VENBIO GLOBAL STRATEGIC GP V, LLC</w:t>
            </w:r>
            <w:r>
              <w:rPr/>
              <w:t xml:space="preserve"> </w:t>
            </w:r>
          </w:p>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43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4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4396" w:type="dxa"/>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646" w:type="dxa"/>
            <w:tcBorders/>
            <w:vAlign w:val="center"/>
          </w:tcPr>
          <w:p>
            <w:pPr>
              <w:pStyle w:val="TableContents"/>
              <w:bidi w:val="0"/>
              <w:spacing w:before="0" w:after="0"/>
              <w:jc w:val="left"/>
              <w:rPr/>
            </w:pPr>
            <w:r>
              <w:rPr>
                <w:color w:val="000000"/>
                <w:sz w:val="22"/>
              </w:rPr>
              <w:t>Title:</w:t>
            </w:r>
            <w:r>
              <w:rPr/>
              <w:t xml:space="preserve"> </w:t>
            </w:r>
          </w:p>
        </w:tc>
        <w:tc>
          <w:tcPr>
            <w:tcW w:w="4396" w:type="dxa"/>
            <w:tcBorders/>
            <w:vAlign w:val="center"/>
          </w:tcPr>
          <w:p>
            <w:pPr>
              <w:pStyle w:val="TableContents"/>
              <w:bidi w:val="0"/>
              <w:spacing w:before="0" w:after="0"/>
              <w:jc w:val="left"/>
              <w:rPr/>
            </w:pPr>
            <w:r>
              <w:rPr>
                <w:color w:val="000000"/>
                <w:sz w:val="22"/>
              </w:rPr>
              <w:t>Member</w:t>
            </w:r>
            <w:r>
              <w:rPr/>
              <w:t xml:space="preserve"> </w:t>
            </w:r>
          </w:p>
        </w:tc>
        <w:tc>
          <w:tcPr>
            <w:tcW w:w="251" w:type="dxa"/>
            <w:tcBorders/>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jc w:val="left"/>
              <w:rPr/>
            </w:pPr>
            <w:r>
              <w:rPr>
                <w:color w:val="000000"/>
              </w:rPr>
              <w:t> </w:t>
            </w:r>
            <w:r>
              <w:rPr/>
              <w:t xml:space="preserve"> </w:t>
            </w:r>
          </w:p>
        </w:tc>
        <w:tc>
          <w:tcPr>
            <w:tcW w:w="5042" w:type="dxa"/>
            <w:gridSpan w:val="2"/>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tbl>
      <w:tblPr>
        <w:tblW w:w="3009" w:type="dxa"/>
        <w:jc w:val="left"/>
        <w:tblInd w:w="0" w:type="dxa"/>
        <w:tblLayout w:type="fixed"/>
        <w:tblCellMar>
          <w:top w:w="28" w:type="dxa"/>
          <w:left w:w="28" w:type="dxa"/>
          <w:bottom w:w="28" w:type="dxa"/>
          <w:right w:w="28" w:type="dxa"/>
        </w:tblCellMar>
      </w:tblPr>
      <w:tblGrid>
        <w:gridCol w:w="221"/>
        <w:gridCol w:w="616"/>
        <w:gridCol w:w="1921"/>
        <w:gridCol w:w="251"/>
      </w:tblGrid>
      <w:tr>
        <w:trPr/>
        <w:tc>
          <w:tcPr>
            <w:tcW w:w="2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37" w:type="dxa"/>
            <w:gridSpan w:val="2"/>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2537" w:type="dxa"/>
            <w:gridSpan w:val="2"/>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sz w:val="22"/>
              </w:rPr>
              <w:t>Aaron Royston</w:t>
            </w:r>
            <w:r>
              <w:rPr/>
              <w:t xml:space="preserve"> </w:t>
            </w:r>
          </w:p>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2537" w:type="dxa"/>
            <w:gridSpan w:val="2"/>
            <w:tcBorders/>
            <w:vAlign w:val="center"/>
          </w:tcPr>
          <w:p>
            <w:pPr>
              <w:pStyle w:val="TableContents"/>
              <w:bidi w:val="0"/>
              <w:spacing w:before="0" w:after="0"/>
              <w:jc w:val="left"/>
              <w:rPr/>
            </w:pPr>
            <w:r>
              <w:rPr>
                <w:color w:val="000000"/>
                <w:sz w:val="22"/>
              </w:rPr>
              <w:t>Corey Goodman</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2537" w:type="dxa"/>
            <w:gridSpan w:val="2"/>
            <w:tcBorders>
              <w:bottom w:val="single" w:sz="12" w:space="0" w:color="000000"/>
            </w:tcBorders>
            <w:tcMar>
              <w:top w:w="0" w:type="dxa"/>
              <w:left w:w="0" w:type="dxa"/>
              <w:right w:w="0" w:type="dxa"/>
            </w:tcMar>
            <w:vAlign w:val="center"/>
          </w:tcPr>
          <w:p>
            <w:pPr>
              <w:pStyle w:val="TableContents"/>
              <w:bidi w:val="0"/>
              <w:spacing w:before="0" w:after="0"/>
              <w:jc w:val="center"/>
              <w:rPr/>
            </w:pPr>
            <w:r>
              <w:rPr>
                <w:color w:val="000000"/>
                <w:sz w:val="22"/>
              </w:rPr>
              <w:t>*</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2537" w:type="dxa"/>
            <w:gridSpan w:val="2"/>
            <w:tcBorders/>
            <w:vAlign w:val="center"/>
          </w:tcPr>
          <w:p>
            <w:pPr>
              <w:pStyle w:val="TableContents"/>
              <w:bidi w:val="0"/>
              <w:spacing w:before="0" w:after="0"/>
              <w:jc w:val="left"/>
              <w:rPr/>
            </w:pPr>
            <w:r>
              <w:rPr>
                <w:color w:val="000000"/>
                <w:sz w:val="22"/>
              </w:rPr>
              <w:t>Richard Gaster</w:t>
            </w:r>
            <w:r>
              <w:rPr/>
              <w:t xml:space="preserve"> </w:t>
            </w:r>
          </w:p>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2537" w:type="dxa"/>
            <w:gridSpan w:val="2"/>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616" w:type="dxa"/>
            <w:tcBorders/>
            <w:tcMar>
              <w:top w:w="0" w:type="dxa"/>
              <w:left w:w="0" w:type="dxa"/>
              <w:bottom w:w="0" w:type="dxa"/>
              <w:right w:w="0" w:type="dxa"/>
            </w:tcMar>
            <w:vAlign w:val="center"/>
          </w:tcPr>
          <w:p>
            <w:pPr>
              <w:pStyle w:val="TableContents"/>
              <w:bidi w:val="0"/>
              <w:spacing w:before="0" w:after="0"/>
              <w:jc w:val="left"/>
              <w:rPr/>
            </w:pPr>
            <w:r>
              <w:rPr>
                <w:color w:val="000000"/>
                <w:sz w:val="22"/>
              </w:rPr>
              <w:t>*By:</w:t>
            </w:r>
            <w:r>
              <w:rPr/>
              <w:t xml:space="preserve"> </w:t>
            </w:r>
          </w:p>
        </w:tc>
        <w:tc>
          <w:tcPr>
            <w:tcW w:w="192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000000"/>
                <w:sz w:val="22"/>
              </w:rPr>
              <w:t>/s/ David Pezeshki</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616" w:type="dxa"/>
            <w:tcBorders/>
            <w:vAlign w:val="center"/>
          </w:tcPr>
          <w:p>
            <w:pPr>
              <w:pStyle w:val="TableContents"/>
              <w:bidi w:val="0"/>
              <w:spacing w:before="0" w:after="0"/>
              <w:jc w:val="left"/>
              <w:rPr/>
            </w:pPr>
            <w:r>
              <w:rPr>
                <w:color w:val="000000"/>
              </w:rPr>
              <w:t> </w:t>
            </w:r>
            <w:r>
              <w:rPr/>
              <w:t xml:space="preserve"> </w:t>
            </w:r>
          </w:p>
        </w:tc>
        <w:tc>
          <w:tcPr>
            <w:tcW w:w="1921" w:type="dxa"/>
            <w:tcBorders/>
            <w:vAlign w:val="center"/>
          </w:tcPr>
          <w:p>
            <w:pPr>
              <w:pStyle w:val="TableContents"/>
              <w:bidi w:val="0"/>
              <w:spacing w:before="0" w:after="0"/>
              <w:jc w:val="left"/>
              <w:rPr/>
            </w:pPr>
            <w:r>
              <w:rPr>
                <w:color w:val="000000"/>
                <w:sz w:val="22"/>
              </w:rPr>
              <w:t>David Pezeshki</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221" w:type="dxa"/>
            <w:tcBorders/>
            <w:vAlign w:val="center"/>
          </w:tcPr>
          <w:p>
            <w:pPr>
              <w:pStyle w:val="TableContents"/>
              <w:bidi w:val="0"/>
              <w:spacing w:before="0" w:after="0"/>
              <w:jc w:val="left"/>
              <w:rPr/>
            </w:pPr>
            <w:r>
              <w:rPr>
                <w:color w:val="000000"/>
              </w:rPr>
              <w:t> </w:t>
            </w:r>
            <w:r>
              <w:rPr/>
              <w:t xml:space="preserve"> </w:t>
            </w:r>
          </w:p>
        </w:tc>
        <w:tc>
          <w:tcPr>
            <w:tcW w:w="616" w:type="dxa"/>
            <w:tcBorders/>
            <w:vAlign w:val="center"/>
          </w:tcPr>
          <w:p>
            <w:pPr>
              <w:pStyle w:val="TableContents"/>
              <w:bidi w:val="0"/>
              <w:spacing w:before="0" w:after="0"/>
              <w:jc w:val="left"/>
              <w:rPr/>
            </w:pPr>
            <w:r>
              <w:rPr>
                <w:color w:val="000000"/>
              </w:rPr>
              <w:t> </w:t>
            </w:r>
            <w:r>
              <w:rPr/>
              <w:t xml:space="preserve"> </w:t>
            </w:r>
          </w:p>
        </w:tc>
        <w:tc>
          <w:tcPr>
            <w:tcW w:w="1921" w:type="dxa"/>
            <w:tcBorders/>
            <w:vAlign w:val="center"/>
          </w:tcPr>
          <w:p>
            <w:pPr>
              <w:pStyle w:val="TableContents"/>
              <w:bidi w:val="0"/>
              <w:spacing w:before="0" w:after="0"/>
              <w:jc w:val="left"/>
              <w:rPr/>
            </w:pPr>
            <w:r>
              <w:rPr>
                <w:color w:val="000000"/>
                <w:sz w:val="22"/>
              </w:rPr>
              <w:t>As attorney-in-fact</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color w:val="000000"/>
          <w:sz w:val="22"/>
        </w:rPr>
        <w:t>This Agreement was executed by David Pezeshki on behalf of the individuals listed above pursuant to a Power of Attorney, copies of which are attached as Exhibit 2 and Exhibit 3.</w:t>
      </w:r>
      <w:r>
        <w:rPr/>
        <w:t xml:space="preserve"> </w:t>
      </w:r>
    </w:p>
    <w:p>
      <w:pPr>
        <w:pStyle w:val="TextBody"/>
        <w:bidi w:val="0"/>
        <w:spacing w:before="0" w:after="283"/>
        <w:jc w:val="left"/>
        <w:rPr/>
      </w:pPr>
      <w:r>
        <w:rPr/>
        <w:t xml:space="preserve">  </w:t>
      </w:r>
    </w:p>
    <w:p>
      <w:pPr>
        <w:pStyle w:val="TextBody"/>
        <w:bidi w:val="0"/>
        <w:spacing w:before="0" w:after="0"/>
        <w:jc w:val="left"/>
        <w:rPr/>
      </w:pPr>
      <w:r>
        <w:rPr/>
      </w:r>
      <w:bookmarkStart w:id="22" w:name="poa_roystongoodman.htm"/>
      <w:bookmarkStart w:id="23" w:name="kspoa_roystongoodman"/>
      <w:bookmarkStart w:id="24" w:name="poa_roystongoodman.htm"/>
      <w:bookmarkStart w:id="25" w:name="kspoa_roystongoodman"/>
      <w:bookmarkEnd w:id="24"/>
      <w:bookmarkEnd w:id="2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left"/>
        <w:rPr/>
      </w:pPr>
      <w:r>
        <w:rPr/>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KNOW ALL MEN BY THESE PRESENTS, that the undersigned hereby constitutes and appoints David Pezeshki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pStyle w:val="TextBody"/>
        <w:bidi w:val="0"/>
        <w:spacing w:before="0" w:after="0"/>
        <w:ind w:left="0" w:right="0" w:firstLine="490"/>
        <w:jc w:val="both"/>
        <w:rPr>
          <w:color w:val="000000"/>
        </w:rPr>
      </w:pPr>
      <w:r>
        <w:rPr>
          <w:color w:val="000000"/>
        </w:rPr>
      </w:r>
    </w:p>
    <w:p>
      <w:pPr>
        <w:pStyle w:val="TextBody"/>
        <w:bidi w:val="0"/>
        <w:spacing w:lineRule="auto" w:line="240" w:before="0" w:after="0"/>
        <w:ind w:left="0" w:right="0" w:firstLine="490"/>
        <w:jc w:val="both"/>
        <w:rPr>
          <w:rFonts w:ascii="Times New Roman;Times;serif" w:hAnsi="Times New Roman;Times;serif"/>
          <w:color w:val="000000"/>
          <w:sz w:val="20"/>
        </w:rPr>
      </w:pPr>
      <w:r>
        <w:rPr>
          <w:rFonts w:ascii="Times New Roman;Times;serif" w:hAnsi="Times New Roman;Times;serif"/>
          <w:color w:val="000000"/>
          <w:sz w:val="20"/>
        </w:rPr>
        <w:t>IN WITNESS WHEREOF, this Power of Attorney has been signed as of the 10th day of February, 2017.</w:t>
      </w:r>
    </w:p>
    <w:p>
      <w:pPr>
        <w:pStyle w:val="TextBody"/>
        <w:bidi w:val="0"/>
        <w:spacing w:before="0" w:after="0"/>
        <w:ind w:left="0" w:right="0" w:firstLine="490"/>
        <w:jc w:val="both"/>
        <w:rPr>
          <w:color w:val="000000"/>
        </w:rPr>
      </w:pPr>
      <w:r>
        <w:rPr>
          <w:color w:val="000000"/>
        </w:rPr>
      </w:r>
    </w:p>
    <w:p>
      <w:pPr>
        <w:pStyle w:val="Normal"/>
        <w:bidi w:val="0"/>
        <w:spacing w:before="0" w:after="0"/>
        <w:jc w:val="left"/>
        <w:rPr>
          <w:sz w:val="4"/>
          <w:szCs w:val="4"/>
        </w:rPr>
      </w:pPr>
      <w:r>
        <w:rPr>
          <w:sz w:val="4"/>
          <w:szCs w:val="4"/>
        </w:rPr>
      </w:r>
      <w:bookmarkStart w:id="26" w:name="zc43c72e7daa14b0d81d46748e5ecc900"/>
      <w:bookmarkStart w:id="27" w:name="zc43c72e7daa14b0d81d46748e5ecc900"/>
      <w:bookmarkEnd w:id="27"/>
    </w:p>
    <w:tbl>
      <w:tblPr>
        <w:tblW w:w="1805" w:type="dxa"/>
        <w:jc w:val="left"/>
        <w:tblInd w:w="0" w:type="dxa"/>
        <w:tblLayout w:type="fixed"/>
        <w:tblCellMar>
          <w:top w:w="0" w:type="dxa"/>
          <w:left w:w="0" w:type="dxa"/>
          <w:bottom w:w="28" w:type="dxa"/>
          <w:right w:w="0" w:type="dxa"/>
        </w:tblCellMar>
      </w:tblPr>
      <w:tblGrid>
        <w:gridCol w:w="1805"/>
      </w:tblGrid>
      <w:tr>
        <w:trPr/>
        <w:tc>
          <w:tcPr>
            <w:tcW w:w="1805" w:type="dxa"/>
            <w:tcBorders>
              <w:bottom w:val="single" w:sz="12" w:space="0" w:color="000000"/>
            </w:tcBorders>
            <w:vAlign w:val="center"/>
          </w:tcPr>
          <w:p>
            <w:pPr>
              <w:pStyle w:val="TableContents"/>
              <w:bidi w:val="0"/>
              <w:spacing w:before="0" w:after="0"/>
              <w:jc w:val="left"/>
              <w:rPr/>
            </w:pPr>
            <w:r>
              <w:rPr/>
              <w:t>/s/ Aaron Royston</w:t>
            </w:r>
          </w:p>
        </w:tc>
      </w:tr>
      <w:tr>
        <w:trPr/>
        <w:tc>
          <w:tcPr>
            <w:tcW w:w="1805" w:type="dxa"/>
            <w:tcBorders/>
            <w:tcMar>
              <w:bottom w:w="0" w:type="dxa"/>
            </w:tcMar>
            <w:vAlign w:val="center"/>
          </w:tcPr>
          <w:p>
            <w:pPr>
              <w:pStyle w:val="TableContents"/>
              <w:bidi w:val="0"/>
              <w:spacing w:before="0" w:after="0"/>
              <w:jc w:val="left"/>
              <w:rPr/>
            </w:pPr>
            <w:r>
              <w:rPr/>
              <w:t>Aaron Royston</w:t>
            </w:r>
          </w:p>
          <w:p>
            <w:pPr>
              <w:pStyle w:val="TableContents"/>
              <w:bidi w:val="0"/>
              <w:spacing w:before="0" w:after="0"/>
              <w:jc w:val="left"/>
              <w:rPr/>
            </w:pPr>
            <w:r>
              <w:rPr/>
            </w:r>
          </w:p>
        </w:tc>
      </w:tr>
    </w:tbl>
    <w:p>
      <w:pPr>
        <w:pStyle w:val="Normal"/>
        <w:bidi w:val="0"/>
        <w:spacing w:before="0" w:after="0"/>
        <w:jc w:val="left"/>
        <w:rPr>
          <w:sz w:val="4"/>
          <w:szCs w:val="4"/>
        </w:rPr>
      </w:pPr>
      <w:r>
        <w:rPr>
          <w:sz w:val="4"/>
          <w:szCs w:val="4"/>
        </w:rPr>
      </w:r>
      <w:bookmarkStart w:id="28" w:name="ze99d78155d924159a705681f0554df81"/>
      <w:bookmarkStart w:id="29" w:name="ze99d78155d924159a705681f0554df81"/>
      <w:bookmarkEnd w:id="29"/>
    </w:p>
    <w:tbl>
      <w:tblPr>
        <w:tblW w:w="1940" w:type="dxa"/>
        <w:jc w:val="left"/>
        <w:tblInd w:w="0" w:type="dxa"/>
        <w:tblLayout w:type="fixed"/>
        <w:tblCellMar>
          <w:top w:w="0" w:type="dxa"/>
          <w:left w:w="0" w:type="dxa"/>
          <w:bottom w:w="28" w:type="dxa"/>
          <w:right w:w="0" w:type="dxa"/>
        </w:tblCellMar>
      </w:tblPr>
      <w:tblGrid>
        <w:gridCol w:w="1940"/>
      </w:tblGrid>
      <w:tr>
        <w:trPr/>
        <w:tc>
          <w:tcPr>
            <w:tcW w:w="1940" w:type="dxa"/>
            <w:tcBorders>
              <w:bottom w:val="single" w:sz="12" w:space="0" w:color="000000"/>
            </w:tcBorders>
            <w:vAlign w:val="center"/>
          </w:tcPr>
          <w:p>
            <w:pPr>
              <w:pStyle w:val="TableContents"/>
              <w:bidi w:val="0"/>
              <w:spacing w:before="0" w:after="0"/>
              <w:jc w:val="left"/>
              <w:rPr/>
            </w:pPr>
            <w:r>
              <w:rPr/>
              <w:t>/s/ Corey Goodman</w:t>
            </w:r>
          </w:p>
        </w:tc>
      </w:tr>
      <w:tr>
        <w:trPr/>
        <w:tc>
          <w:tcPr>
            <w:tcW w:w="1940" w:type="dxa"/>
            <w:tcBorders/>
            <w:tcMar>
              <w:bottom w:w="0" w:type="dxa"/>
            </w:tcMar>
            <w:vAlign w:val="center"/>
          </w:tcPr>
          <w:p>
            <w:pPr>
              <w:pStyle w:val="TableContents"/>
              <w:bidi w:val="0"/>
              <w:spacing w:before="0" w:after="0"/>
              <w:jc w:val="left"/>
              <w:rPr/>
            </w:pPr>
            <w:r>
              <w:rPr/>
              <w:t>Corey Goodman</w:t>
            </w:r>
          </w:p>
          <w:p>
            <w:pPr>
              <w:pStyle w:val="TableContents"/>
              <w:bidi w:val="0"/>
              <w:spacing w:before="0" w:after="0"/>
              <w:jc w:val="left"/>
              <w:rPr/>
            </w:pPr>
            <w:r>
              <w:rPr/>
            </w:r>
          </w:p>
        </w:tc>
      </w:tr>
    </w:tbl>
    <w:p>
      <w:pPr>
        <w:pStyle w:val="Normal"/>
        <w:bidi w:val="0"/>
        <w:spacing w:before="0" w:after="0"/>
        <w:jc w:val="left"/>
        <w:rPr>
          <w:sz w:val="4"/>
          <w:szCs w:val="4"/>
        </w:rPr>
      </w:pPr>
      <w:r>
        <w:rPr>
          <w:sz w:val="4"/>
          <w:szCs w:val="4"/>
        </w:rPr>
      </w:r>
      <w:bookmarkStart w:id="30" w:name="zd24fbf4fabd240f18fa616d3e2b7b19a"/>
      <w:bookmarkStart w:id="31" w:name="zd24fbf4fabd240f18fa616d3e2b7b19a"/>
      <w:bookmarkEnd w:id="31"/>
    </w:p>
    <w:tbl>
      <w:tblPr>
        <w:tblW w:w="1925" w:type="dxa"/>
        <w:jc w:val="left"/>
        <w:tblInd w:w="0" w:type="dxa"/>
        <w:tblLayout w:type="fixed"/>
        <w:tblCellMar>
          <w:top w:w="0" w:type="dxa"/>
          <w:left w:w="0" w:type="dxa"/>
          <w:bottom w:w="28" w:type="dxa"/>
          <w:right w:w="0" w:type="dxa"/>
        </w:tblCellMar>
      </w:tblPr>
      <w:tblGrid>
        <w:gridCol w:w="1925"/>
      </w:tblGrid>
      <w:tr>
        <w:trPr/>
        <w:tc>
          <w:tcPr>
            <w:tcW w:w="1925" w:type="dxa"/>
            <w:tcBorders>
              <w:bottom w:val="single" w:sz="12" w:space="0" w:color="000000"/>
            </w:tcBorders>
            <w:vAlign w:val="center"/>
          </w:tcPr>
          <w:p>
            <w:pPr>
              <w:pStyle w:val="TableContents"/>
              <w:bidi w:val="0"/>
              <w:spacing w:before="0" w:after="0"/>
              <w:jc w:val="left"/>
              <w:rPr/>
            </w:pPr>
            <w:r>
              <w:rPr/>
              <w:t>/s/ Robert Adelman</w:t>
            </w:r>
          </w:p>
        </w:tc>
      </w:tr>
      <w:tr>
        <w:trPr/>
        <w:tc>
          <w:tcPr>
            <w:tcW w:w="1925" w:type="dxa"/>
            <w:tcBorders/>
            <w:tcMar>
              <w:bottom w:w="0" w:type="dxa"/>
            </w:tcMar>
            <w:vAlign w:val="center"/>
          </w:tcPr>
          <w:p>
            <w:pPr>
              <w:pStyle w:val="TableContents"/>
              <w:bidi w:val="0"/>
              <w:spacing w:before="0" w:after="0"/>
              <w:jc w:val="left"/>
              <w:rPr/>
            </w:pPr>
            <w:r>
              <w:rPr/>
              <w:t>Robert Adelman</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color w:val="000000"/>
        </w:rPr>
      </w:pPr>
      <w:bookmarkStart w:id="32" w:name="poa_gaster.htm"/>
      <w:bookmarkStart w:id="33" w:name="kspoa_gaster"/>
      <w:bookmarkEnd w:id="32"/>
      <w:bookmarkEnd w:id="33"/>
      <w:r>
        <w:rPr>
          <w:color w:val="000000"/>
        </w:rPr>
        <w:t> </w:t>
      </w:r>
      <w:r>
        <w:br w:type="page"/>
      </w:r>
    </w:p>
    <w:p>
      <w:pPr>
        <w:pStyle w:val="TextBody"/>
        <w:bidi w:val="0"/>
        <w:spacing w:before="0" w:after="0"/>
        <w:jc w:val="left"/>
        <w:rPr>
          <w:color w:val="000000"/>
        </w:rPr>
      </w:pPr>
      <w:r>
        <w:rPr>
          <w:color w:val="000000"/>
        </w:rPr>
        <w:t> </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KNOW ALL MEN BY THESE PRESENTS, that the undersigned hereby constitutes and appoints David Pezeshki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this Power of Attorney has been signed as of the 21st day of April,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99a981d8bdd245b28e178b0ec8577173"/>
      <w:bookmarkStart w:id="35" w:name="z99a981d8bdd245b28e178b0ec8577173"/>
      <w:bookmarkEnd w:id="35"/>
    </w:p>
    <w:tbl>
      <w:tblPr>
        <w:tblW w:w="1775" w:type="dxa"/>
        <w:jc w:val="left"/>
        <w:tblInd w:w="0" w:type="dxa"/>
        <w:tblLayout w:type="fixed"/>
        <w:tblCellMar>
          <w:top w:w="0" w:type="dxa"/>
          <w:left w:w="0" w:type="dxa"/>
          <w:bottom w:w="28" w:type="dxa"/>
          <w:right w:w="0" w:type="dxa"/>
        </w:tblCellMar>
      </w:tblPr>
      <w:tblGrid>
        <w:gridCol w:w="1775"/>
      </w:tblGrid>
      <w:tr>
        <w:trPr/>
        <w:tc>
          <w:tcPr>
            <w:tcW w:w="1775" w:type="dxa"/>
            <w:tcBorders>
              <w:bottom w:val="single" w:sz="12" w:space="0" w:color="000000"/>
            </w:tcBorders>
            <w:vAlign w:val="center"/>
          </w:tcPr>
          <w:p>
            <w:pPr>
              <w:pStyle w:val="TableContents"/>
              <w:bidi w:val="0"/>
              <w:spacing w:before="0" w:after="0"/>
              <w:jc w:val="left"/>
              <w:rPr/>
            </w:pPr>
            <w:r>
              <w:rPr/>
              <w:t>/s/ Richard Gaster</w:t>
            </w:r>
          </w:p>
        </w:tc>
      </w:tr>
      <w:tr>
        <w:trPr/>
        <w:tc>
          <w:tcPr>
            <w:tcW w:w="1775" w:type="dxa"/>
            <w:tcBorders/>
            <w:tcMar>
              <w:bottom w:w="0" w:type="dxa"/>
            </w:tcMar>
            <w:vAlign w:val="center"/>
          </w:tcPr>
          <w:p>
            <w:pPr>
              <w:pStyle w:val="TableContents"/>
              <w:bidi w:val="0"/>
              <w:spacing w:before="0" w:after="0"/>
              <w:jc w:val="left"/>
              <w:rPr/>
            </w:pPr>
            <w:r>
              <w:rPr/>
              <w:t>Richard Gaster</w:t>
            </w:r>
          </w:p>
        </w:tc>
      </w:tr>
    </w:tbl>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2285</Words>
  <Characters>11655</Characters>
  <CharactersWithSpaces>14033</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