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Yarrow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591,472.00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591,472.00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Global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591,472.00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591,472.00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591,472.00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Fund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83,528.00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83,528.00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83,528.00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83,528.00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83,528.00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83,528.00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Ulys,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83,528.00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83,528.00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83,528.00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Raymond Debbane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PANAMA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Yarrow Bioscience,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Suite 007,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11, 2026, Invus Public Equities directly held 591,472 shares of common stock (the "Shares") of Yarrow Bioscience, Inc. (the "Issuer"), and Avicenna Fund directly held 83,528 Shares. Invus PE Advisors, as the general partner of Invus Public Equities, controls Invus Public Equities and, accordingly, may be deemed to beneficially own the Shares directly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directly held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September 14, 2026, each of the Reporting Persons may be deemed to be the beneficial owner of the percentage of Shares listed on such Reporting Person's cover page. Calculations of the percentage of Shares beneficially owned are based on (i) 8,572,309 Shares outstanding as of September 11, 2026, based on information provided by the Issuer on Form 424(b)(5) as filed with the Securities and Exchange Commission on September 11, 2026 and (ii) an additional 865,384 Shares resulting from the exercise of the underwriters option to purchase additional Shares as reported by the Issuer on Form 8-K as filed with the Securities and Exchange Commission on September 14, 2026.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Invus Public Equities,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President of Invus Public Equities Advisors,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Invus Public Equities Advisors,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Invus Global Management,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Siren, L.L.C.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Fund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Raymond Debbane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Raymond Debbane, Chief Executive Officer of Avicenna Life Sci Master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Chief Executive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Ulys, L.L.C.</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Raymond Debbane</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Raymond Debbane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Raymond Debbane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shd w:fill="FFFFFF" w:val="clear"/>
        <w:bidi w:val="0"/>
        <w:jc w:val="right"/>
        <w:rPr>
          <w:rFonts w:ascii="Times New Roman;Times;Serif" w:hAnsi="Times New Roman;Times;Serif"/>
          <w:b w:val="false"/>
          <w:i w:val="false"/>
          <w:caps w:val="false"/>
          <w:smallCaps w:val="false"/>
          <w:sz w:val="20"/>
        </w:rPr>
      </w:pPr>
      <w:bookmarkStart w:id="44" w:name="exhibit991.htm"/>
      <w:bookmarkStart w:id="45" w:name="ksexhibit991"/>
      <w:bookmarkEnd w:id="44"/>
      <w:bookmarkEnd w:id="45"/>
      <w:r>
        <w:rPr>
          <w:rFonts w:ascii="Times New Roman;Times;Serif" w:hAnsi="Times New Roman;Times;Serif"/>
          <w:b w:val="false"/>
          <w:i w:val="false"/>
          <w:caps w:val="false"/>
          <w:smallCaps w:val="false"/>
          <w:sz w:val="20"/>
        </w:rPr>
        <w:t>Exhibit 99.1</w:t>
      </w:r>
      <w:r>
        <w:br w:type="page"/>
      </w:r>
    </w:p>
    <w:p>
      <w:pPr>
        <w:pStyle w:val="TextBody"/>
        <w:shd w:fill="FFFFFF" w:val="clear"/>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securities of Yarrow Bioscience, Inc. is, and any amendments thereto signed by each or any of the undersigned shall be, filed on behalf of each of such person pursuant to, and in accordance with, the provisions of Rule 13d-1(k) under the Securities Exchange Act of 1934, as amended.</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17, 2026</w:t>
      </w:r>
    </w:p>
    <w:p>
      <w:pPr>
        <w:pStyle w:val="TextBody"/>
        <w:bidi w:val="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PUBLIC EQUITIES, L.P.</w:t>
      </w:r>
    </w:p>
    <w:p>
      <w:pPr>
        <w:pStyle w:val="TextBody"/>
        <w:bidi w:val="0"/>
        <w:ind w:left="5040" w:right="5040" w:firstLine="72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INVUS PUBLIC EQUITIES ADVISORS,</w:t>
      </w:r>
    </w:p>
    <w:p>
      <w:pPr>
        <w:pStyle w:val="TextBody"/>
        <w:bidi w:val="0"/>
        <w:ind w:left="5040" w:right="50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LLC, its general partner</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President</w:t>
      </w:r>
    </w:p>
    <w:p>
      <w:pPr>
        <w:pStyle w:val="TextBody"/>
        <w:bidi w:val="0"/>
        <w:ind w:left="5040" w:right="5040" w:hanging="0"/>
        <w:jc w:val="left"/>
        <w:rPr>
          <w:caps w:val="false"/>
          <w:smallCaps w:val="false"/>
        </w:rPr>
      </w:pPr>
      <w:r>
        <w:rPr>
          <w:caps w:val="false"/>
          <w:smallCaps w:val="false"/>
        </w:rPr>
        <w:t> </w:t>
      </w:r>
    </w:p>
    <w:p>
      <w:pPr>
        <w:pStyle w:val="TextBody"/>
        <w:bidi w:val="0"/>
        <w:ind w:left="5040" w:right="5040" w:hanging="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PUBLIC EQUITIES ADVISORS, LLC</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President</w:t>
      </w:r>
    </w:p>
    <w:p>
      <w:pPr>
        <w:pStyle w:val="TextBody"/>
        <w:bidi w:val="0"/>
        <w:ind w:left="5040" w:right="5040" w:firstLine="1440"/>
        <w:jc w:val="left"/>
        <w:rPr>
          <w:caps w:val="false"/>
          <w:smallCaps w:val="false"/>
        </w:rPr>
      </w:pPr>
      <w:r>
        <w:rPr>
          <w:caps w:val="false"/>
          <w:smallCaps w:val="false"/>
        </w:rPr>
        <w:t> </w:t>
      </w:r>
    </w:p>
    <w:p>
      <w:pPr>
        <w:pStyle w:val="TextBody"/>
        <w:bidi w:val="0"/>
        <w:ind w:left="5040" w:right="504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GLOBAL MANAGEMENT,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SIREN,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AVICENNA LIFE SCI MASTER FUND LP</w:t>
      </w:r>
    </w:p>
    <w:p>
      <w:pPr>
        <w:pStyle w:val="TextBody"/>
        <w:bidi w:val="0"/>
        <w:ind w:left="5040" w:right="5040" w:firstLine="72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AVICENNA LIFE SCI MASTER GP LLC, its general partner</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Chief Executive Officer</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AVICENNA LIFE SCI MASTER GP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ind w:left="4954" w:right="4954"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ULYS,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RAYMOND DEBBANE</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2349</Words>
  <Characters>12417</Characters>
  <CharactersWithSpaces>14616</CharactersWithSpaces>
  <Paragraphs>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