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2891-1_posam.htm"/>
        <w:bookmarkStart w:id="1" w:name="kstm26228911_posam"/>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r>
        <mc:AlternateContent>
          <mc:Choice Requires="wps">
            <w:drawing>
              <wp:anchor behindDoc="0" distT="0" distB="0" distL="0" distR="0" simplePos="0" locked="0" layoutInCell="1" allowOverlap="1" relativeHeight="13">
                <wp:simplePos x="0" y="0"/>
                <wp:positionH relativeFrom="page">
                  <wp:posOffset>617855</wp:posOffset>
                </wp:positionH>
                <wp:positionV relativeFrom="page">
                  <wp:posOffset>9383395</wp:posOffset>
                </wp:positionV>
                <wp:extent cx="7560310" cy="381000"/>
                <wp:effectExtent l="0" t="0" r="0" b="0"/>
                <wp:wrapNone/>
                <wp:docPr id="1" name="Frame78"/>
                <a:graphic xmlns:a="http://schemas.openxmlformats.org/drawingml/2006/main">
                  <a:graphicData uri="http://schemas.microsoft.com/office/word/2010/wordprocessingShape">
                    <wps:wsp>
                      <wps:cNvSpPr txBox="1"/>
                      <wps:spPr>
                        <a:xfrm>
                          <a:off x="0" y="0"/>
                          <a:ext cx="7560310" cy="381000"/>
                        </a:xfrm>
                        <a:prstGeom prst="rect"/>
                        <a:solidFill>
                          <a:srgbClr val="FFFFFF"/>
                        </a:solidFill>
                      </wps:spPr>
                      <wps:txb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preliminary prospectus is not complete and may be changed. We may not sell these securities until the U.S. Securities and Exchange Commission declares our registration statement effective. This preliminary prospectus is not an offer to sell these securities and we are not soliciting offers to buy these securities in any state or jurisdiction where the offer or sale is not permitted.</w:t>
                            </w:r>
                            <w:r>
                              <w:rPr>
                                <w:rFonts w:ascii="Helvetica;Arial;sans-serif" w:hAnsi="Helvetica;Arial;sans-serif"/>
                                <w:b/>
                                <w:color w:val="000000"/>
                                <w:spacing w:val="-2"/>
                                <w:sz w:val="16"/>
                              </w:rPr>
                              <w:t xml:space="preserve"> </w:t>
                            </w:r>
                          </w:p>
                        </w:txbxContent>
                      </wps:txbx>
                      <wps:bodyPr anchor="t" lIns="0" tIns="0" rIns="0" bIns="0">
                        <a:noAutofit/>
                      </wps:bodyPr>
                    </wps:wsp>
                  </a:graphicData>
                </a:graphic>
              </wp:anchor>
            </w:drawing>
          </mc:Choice>
          <mc:Fallback>
            <w:pict>
              <v:rect style="position:absolute;rotation:-0;width:595.3pt;height:30pt;mso-wrap-distance-left:0pt;mso-wrap-distance-right:0pt;mso-wrap-distance-top:0pt;mso-wrap-distance-bottom:0pt;margin-top:738.85pt;mso-position-vertical-relative:page;margin-left:48.65pt;mso-position-horizontal-relative:page">
                <v:textbo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preliminary prospectus is not complete and may be changed. We may not sell these securities until the U.S. Securities and Exchange Commission declares our registration statement effective. This preliminary prospectus is not an offer to sell these securities and we are not soliciting offers to buy these securities in any state or jurisdiction where the offer or sale is not permitted.</w:t>
                      </w:r>
                      <w:r>
                        <w:rPr>
                          <w:rFonts w:ascii="Helvetica;Arial;sans-serif" w:hAnsi="Helvetica;Arial;sans-serif"/>
                          <w:b/>
                          <w:color w:val="000000"/>
                          <w:spacing w:val="-2"/>
                          <w:sz w:val="16"/>
                        </w:rPr>
                        <w:t xml:space="preserve"> </w:t>
                      </w:r>
                    </w:p>
                  </w:txbxContent>
                </v:textbox>
                <w10:wrap type="none"/>
              </v:rect>
            </w:pict>
          </mc:Fallback>
        </mc:AlternateContent>
      </w:r>
      <w:r>
        <mc:AlternateContent>
          <mc:Choice Requires="wps">
            <w:drawing>
              <wp:anchor behindDoc="0" distT="0" distB="0" distL="0" distR="0" simplePos="0" locked="0" layoutInCell="1" allowOverlap="1" relativeHeight="2">
                <wp:simplePos x="0" y="0"/>
                <wp:positionH relativeFrom="page">
                  <wp:posOffset>617855</wp:posOffset>
                </wp:positionH>
                <wp:positionV relativeFrom="page">
                  <wp:posOffset>9383395</wp:posOffset>
                </wp:positionV>
                <wp:extent cx="7560310" cy="381000"/>
                <wp:effectExtent l="0" t="0" r="0" b="0"/>
                <wp:wrapNone/>
                <wp:docPr id="2" name="Frame8"/>
                <a:graphic xmlns:a="http://schemas.openxmlformats.org/drawingml/2006/main">
                  <a:graphicData uri="http://schemas.microsoft.com/office/word/2010/wordprocessingShape">
                    <wps:wsp>
                      <wps:cNvSpPr txBox="1"/>
                      <wps:spPr>
                        <a:xfrm>
                          <a:off x="0" y="0"/>
                          <a:ext cx="7560310" cy="381000"/>
                        </a:xfrm>
                        <a:prstGeom prst="rect"/>
                        <a:solidFill>
                          <a:srgbClr val="FFFFFF"/>
                        </a:solidFill>
                      </wps:spPr>
                      <wps:txb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prospectus is not complete and may be changed. We may not sell these securities until the U.S. Securities and Exchange Commission declares our registration statement effective. This prospectus is not an offer to sell these securities and we are not soliciting offers to buy these securities in any state or jurisdiction where the offer or sale is not permitted.</w:t>
                            </w:r>
                            <w:r>
                              <w:rPr>
                                <w:rFonts w:ascii="Helvetica;Arial;sans-serif" w:hAnsi="Helvetica;Arial;sans-serif"/>
                                <w:b/>
                                <w:color w:val="000000"/>
                                <w:spacing w:val="-2"/>
                                <w:sz w:val="16"/>
                              </w:rPr>
                              <w:t xml:space="preserve"> </w:t>
                            </w:r>
                          </w:p>
                        </w:txbxContent>
                      </wps:txbx>
                      <wps:bodyPr anchor="t" lIns="0" tIns="0" rIns="0" bIns="0">
                        <a:noAutofit/>
                      </wps:bodyPr>
                    </wps:wsp>
                  </a:graphicData>
                </a:graphic>
              </wp:anchor>
            </w:drawing>
          </mc:Choice>
          <mc:Fallback>
            <w:pict>
              <v:rect style="position:absolute;rotation:-0;width:595.3pt;height:30pt;mso-wrap-distance-left:0pt;mso-wrap-distance-right:0pt;mso-wrap-distance-top:0pt;mso-wrap-distance-bottom:0pt;margin-top:738.85pt;mso-position-vertical-relative:page;margin-left:48.65pt;mso-position-horizontal-relative:page">
                <v:textbo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prospectus is not complete and may be changed. We may not sell these securities until the U.S. Securities and Exchange Commission declares our registration statement effective. This prospectus is not an offer to sell these securities and we are not soliciting offers to buy these securities in any state or jurisdiction where the offer or sale is not permitted.</w:t>
                      </w:r>
                      <w:r>
                        <w:rPr>
                          <w:rFonts w:ascii="Helvetica;Arial;sans-serif" w:hAnsi="Helvetica;Arial;sans-serif"/>
                          <w:b/>
                          <w:color w:val="000000"/>
                          <w:spacing w:val="-2"/>
                          <w:sz w:val="16"/>
                        </w:rPr>
                        <w:t xml:space="preserve"> </w:t>
                      </w:r>
                    </w:p>
                  </w:txbxContent>
                </v:textbox>
                <w10:wrap type="none"/>
              </v:rect>
            </w:pict>
          </mc:Fallback>
        </mc:AlternateContent>
      </w:r>
    </w:p>
    <w:p>
      <w:pPr>
        <w:pStyle w:val="TextBody"/>
        <w:bidi w:val="0"/>
        <w:spacing w:lineRule="atLeast" w:line="190" w:before="557" w:after="437"/>
        <w:ind w:left="540" w:right="0" w:hanging="0"/>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As filed with the Securities and Exchange Commission on August 13, 2026</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90" w:before="14" w:after="283"/>
        <w:jc w:val="right"/>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Registration No. 333-277609</w:t>
      </w:r>
      <w:r>
        <w:rPr>
          <w:rFonts w:ascii="Times New Roman;Times;serif" w:hAnsi="Times New Roman;Times;serif"/>
          <w:b/>
          <w:i w:val="false"/>
          <w:caps w:val="false"/>
          <w:smallCaps w:val="false"/>
          <w:color w:val="000000"/>
          <w:sz w:val="18"/>
        </w:rPr>
        <w:t>​</w:t>
      </w:r>
    </w:p>
    <w:p>
      <w:pPr>
        <w:pStyle w:val="TextBody"/>
        <w:bidi w:val="0"/>
        <w:spacing w:before="18"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28"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20" w:before="128"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UNITED STATES</w:t>
      </w:r>
      <w:r>
        <w:rPr>
          <w:rFonts w:ascii="Times New Roman;Times;serif" w:hAnsi="Times New Roman;Times;serif"/>
          <w:b/>
          <w:i w:val="false"/>
          <w:caps w:val="false"/>
          <w:smallCaps w:val="false"/>
          <w:color w:val="000000"/>
          <w:sz w:val="32"/>
        </w:rPr>
        <w:t xml:space="preserve"> </w:t>
        <w:br/>
      </w:r>
      <w:r>
        <w:rPr>
          <w:rFonts w:ascii="Times New Roman;Times;serif" w:hAnsi="Times New Roman;Times;serif"/>
          <w:b/>
          <w:i w:val="false"/>
          <w:caps w:val="false"/>
          <w:smallCaps w:val="false"/>
          <w:color w:val="000000"/>
          <w:spacing w:val="-6"/>
          <w:sz w:val="32"/>
        </w:rPr>
        <w:t xml:space="preserve">SECURITIES AND EXCHANGE COMMISSION </w:t>
      </w:r>
      <w:r>
        <w:rPr>
          <w:rFonts w:ascii="Times New Roman;Times;serif" w:hAnsi="Times New Roman;Times;serif"/>
          <w:b/>
          <w:i w:val="false"/>
          <w:caps w:val="false"/>
          <w:smallCaps w:val="false"/>
          <w:color w:val="000000"/>
          <w:sz w:val="32"/>
        </w:rPr>
        <w:br/>
      </w:r>
      <w:r>
        <w:rPr>
          <w:rFonts w:ascii="Times New Roman;Times;serif" w:hAnsi="Times New Roman;Times;serif"/>
          <w:b/>
          <w:i w:val="false"/>
          <w:caps w:val="false"/>
          <w:smallCaps w:val="false"/>
          <w:color w:val="000000"/>
          <w:spacing w:val="-4"/>
          <w:sz w:val="18"/>
        </w:rPr>
        <w:t>Washington, D.C. 20549</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180" w:before="54"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Post-Effective Amendment No. 1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To</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330" w:before="60" w:after="283"/>
        <w:jc w:val="center"/>
        <w:rPr>
          <w:rFonts w:ascii="Times New Roman;Times;serif" w:hAnsi="Times New Roman;Times;serif"/>
          <w:b/>
          <w:i w:val="false"/>
          <w:caps w:val="false"/>
          <w:smallCaps w:val="false"/>
          <w:color w:val="000000"/>
          <w:spacing w:val="-6"/>
          <w:sz w:val="32"/>
        </w:rPr>
      </w:pPr>
      <w:r>
        <w:rPr>
          <w:rFonts w:ascii="Times New Roman;Times;serif" w:hAnsi="Times New Roman;Times;serif"/>
          <w:b/>
          <w:i w:val="false"/>
          <w:caps w:val="false"/>
          <w:smallCaps w:val="false"/>
          <w:color w:val="000000"/>
          <w:spacing w:val="-6"/>
          <w:sz w:val="32"/>
        </w:rPr>
        <w:t xml:space="preserve">FORM S-3 </w:t>
      </w:r>
    </w:p>
    <w:p>
      <w:pPr>
        <w:pStyle w:val="TextBody"/>
        <w:bidi w:val="0"/>
        <w:spacing w:lineRule="atLeast" w:line="180" w:before="6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REGISTRATION STATEMENT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UNDER</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THE SECURITIES ACT OF 1933</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200" w:before="60" w:after="283"/>
        <w:jc w:val="center"/>
        <w:rPr>
          <w:rFonts w:ascii="Times New Roman;Times;serif" w:hAnsi="Times New Roman;Times;serif"/>
          <w:b w:val="false"/>
          <w:i w:val="false"/>
          <w:caps w:val="false"/>
          <w:smallCaps w:val="false"/>
          <w:color w:val="000000"/>
          <w:sz w:val="32"/>
        </w:rPr>
      </w:pPr>
      <w:r>
        <w:rPr>
          <w:rFonts w:ascii="Times New Roman;Times;serif" w:hAnsi="Times New Roman;Times;serif"/>
          <w:b/>
          <w:i w:val="false"/>
          <w:caps w:val="false"/>
          <w:smallCaps w:val="false"/>
          <w:color w:val="000000"/>
          <w:spacing w:val="-6"/>
          <w:sz w:val="32"/>
        </w:rPr>
        <w:t xml:space="preserve">Yarrow Bioscience, Inc. </w:t>
      </w:r>
      <w:r>
        <w:rPr>
          <w:rFonts w:ascii="Times New Roman;Times;serif" w:hAnsi="Times New Roman;Times;serif"/>
          <w:b w:val="false"/>
          <w:i w:val="false"/>
          <w:caps w:val="false"/>
          <w:smallCaps w:val="false"/>
          <w:color w:val="000000"/>
          <w:sz w:val="32"/>
        </w:rPr>
        <w:br/>
      </w:r>
      <w:r>
        <w:rPr>
          <w:rFonts w:ascii="Times New Roman;Times;serif" w:hAnsi="Times New Roman;Times;serif"/>
          <w:b w:val="false"/>
          <w:i w:val="false"/>
          <w:caps w:val="false"/>
          <w:smallCaps w:val="false"/>
          <w:color w:val="000000"/>
          <w:spacing w:val="3"/>
          <w:sz w:val="16"/>
        </w:rPr>
        <w:t>(Exact name of registrant as specified in its charter)</w:t>
      </w:r>
      <w:r>
        <w:rPr>
          <w:rFonts w:ascii="Times New Roman;Times;serif" w:hAnsi="Times New Roman;Times;serif"/>
          <w:b w:val="false"/>
          <w:i w:val="false"/>
          <w:caps w:val="false"/>
          <w:smallCaps w:val="false"/>
          <w:color w:val="000000"/>
          <w:spacing w:val="6"/>
          <w:sz w:val="32"/>
        </w:rPr>
        <w:t xml:space="preserve"> </w:t>
      </w:r>
    </w:p>
    <w:tbl>
      <w:tblPr>
        <w:tblW w:w="5934" w:type="dxa"/>
        <w:jc w:val="left"/>
        <w:tblInd w:w="540" w:type="dxa"/>
        <w:tblLayout w:type="fixed"/>
        <w:tblCellMar>
          <w:top w:w="0" w:type="dxa"/>
          <w:left w:w="0" w:type="dxa"/>
          <w:bottom w:w="0" w:type="dxa"/>
          <w:right w:w="0" w:type="dxa"/>
        </w:tblCellMar>
      </w:tblPr>
      <w:tblGrid>
        <w:gridCol w:w="124"/>
        <w:gridCol w:w="3058"/>
        <w:gridCol w:w="109"/>
        <w:gridCol w:w="109"/>
        <w:gridCol w:w="2380"/>
        <w:gridCol w:w="154"/>
      </w:tblGrid>
      <w:tr>
        <w:trPr/>
        <w:tc>
          <w:tcPr>
            <w:tcW w:w="124" w:type="dxa"/>
            <w:tcBorders/>
            <w:vAlign w:val="center"/>
          </w:tcPr>
          <w:p>
            <w:pPr>
              <w:pStyle w:val="TableContents"/>
              <w:bidi w:val="0"/>
              <w:spacing w:before="0" w:after="283"/>
              <w:jc w:val="left"/>
              <w:rPr/>
            </w:pPr>
            <w:r>
              <w:rPr/>
              <w:t>​</w:t>
            </w:r>
          </w:p>
        </w:tc>
        <w:tc>
          <w:tcPr>
            <w:tcW w:w="3058" w:type="dxa"/>
            <w:tcBorders/>
            <w:vAlign w:val="center"/>
          </w:tcPr>
          <w:p>
            <w:pPr>
              <w:pStyle w:val="TableContents"/>
              <w:bidi w:val="0"/>
              <w:spacing w:before="0" w:after="0"/>
              <w:jc w:val="center"/>
              <w:rPr>
                <w:b/>
                <w:sz w:val="18"/>
              </w:rPr>
            </w:pPr>
            <w:r>
              <w:rPr>
                <w:b/>
                <w:spacing w:val="-4"/>
                <w:sz w:val="18"/>
              </w:rPr>
              <w:t>Delaware</w:t>
            </w:r>
            <w:r>
              <w:rPr>
                <w:b/>
                <w:sz w:val="18"/>
              </w:rPr>
              <w:t xml:space="preserve"> </w:t>
            </w:r>
          </w:p>
          <w:p>
            <w:pPr>
              <w:pStyle w:val="TableContents"/>
              <w:bidi w:val="0"/>
              <w:spacing w:lineRule="atLeast" w:line="180" w:before="36" w:after="283"/>
              <w:jc w:val="center"/>
              <w:rPr/>
            </w:pPr>
            <w:r>
              <w:rPr>
                <w:spacing w:val="3"/>
              </w:rPr>
              <w:t xml:space="preserve">(State or other jurisdiction of </w:t>
            </w:r>
            <w:r>
              <w:rPr/>
              <w:br/>
            </w:r>
            <w:r>
              <w:rPr>
                <w:spacing w:val="3"/>
              </w:rPr>
              <w:t>incorporation or organization)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80" w:type="dxa"/>
            <w:tcBorders/>
            <w:vAlign w:val="center"/>
          </w:tcPr>
          <w:p>
            <w:pPr>
              <w:pStyle w:val="TableContents"/>
              <w:bidi w:val="0"/>
              <w:spacing w:before="0" w:after="0"/>
              <w:jc w:val="center"/>
              <w:rPr>
                <w:b/>
                <w:sz w:val="18"/>
              </w:rPr>
            </w:pPr>
            <w:r>
              <w:rPr>
                <w:b/>
                <w:spacing w:val="-4"/>
                <w:sz w:val="18"/>
              </w:rPr>
              <w:t>45-3757789</w:t>
            </w:r>
            <w:r>
              <w:rPr>
                <w:b/>
                <w:sz w:val="18"/>
              </w:rPr>
              <w:t xml:space="preserve"> </w:t>
            </w:r>
          </w:p>
          <w:p>
            <w:pPr>
              <w:pStyle w:val="TableContents"/>
              <w:bidi w:val="0"/>
              <w:spacing w:lineRule="atLeast" w:line="160" w:before="36" w:after="283"/>
              <w:jc w:val="center"/>
              <w:rPr/>
            </w:pPr>
            <w:r>
              <w:rPr>
                <w:spacing w:val="3"/>
              </w:rPr>
              <w:t>(I.R.S. Employer</w:t>
            </w:r>
            <w:r>
              <w:rPr/>
              <w:t xml:space="preserve"> </w:t>
              <w:br/>
            </w:r>
            <w:r>
              <w:rPr>
                <w:spacing w:val="3"/>
              </w:rPr>
              <w:t>Identification Number)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80" w:before="154" w:after="283"/>
        <w:ind w:left="540" w:right="0" w:hanging="0"/>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470 James Street, Suite 007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New Haven, CT 06513</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(203) 433-7577</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70" w:before="14"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(Address, Including Zip Code, and Telephone Number, Including Area Code, of Registrant’s Principal Executive Offices)</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4"/>
          <w:sz w:val="16"/>
        </w:rPr>
        <w:t xml:space="preserve"> </w:t>
      </w:r>
    </w:p>
    <w:p>
      <w:pPr>
        <w:pStyle w:val="TextBody"/>
        <w:bidi w:val="0"/>
        <w:spacing w:lineRule="atLeast" w:line="180" w:before="4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Rebecca Frey, Pharm.D.</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Chief Executive Officer</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Yarrow Bioscience, Inc.</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470 James Street, Suite 007</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New Haven, CT 06513</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(203) 433-7577</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70" w:before="14"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(Name, Address, Including Zip Code, and Telephone Number, Including Area Code, of Agent for Service)</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4"/>
          <w:sz w:val="16"/>
        </w:rPr>
        <w:t xml:space="preserve"> </w:t>
      </w:r>
    </w:p>
    <w:p>
      <w:pPr>
        <w:pStyle w:val="TextBody"/>
        <w:bidi w:val="0"/>
        <w:spacing w:lineRule="atLeast" w:line="190" w:before="60" w:after="283"/>
        <w:jc w:val="center"/>
        <w:rPr>
          <w:rFonts w:ascii="Times New Roman;Times;serif" w:hAnsi="Times New Roman;Times;serif"/>
          <w:b/>
          <w:i/>
          <w:caps w:val="false"/>
          <w:smallCaps w:val="false"/>
          <w:color w:val="000000"/>
          <w:sz w:val="18"/>
        </w:rPr>
      </w:pPr>
      <w:r>
        <w:rPr>
          <w:rFonts w:ascii="Times New Roman;Times;serif" w:hAnsi="Times New Roman;Times;serif"/>
          <w:b/>
          <w:i/>
          <w:caps w:val="false"/>
          <w:smallCaps w:val="false"/>
          <w:color w:val="000000"/>
          <w:spacing w:val="-4"/>
          <w:sz w:val="18"/>
        </w:rPr>
        <w:t>Copies to:</w:t>
      </w:r>
      <w:r>
        <w:rPr>
          <w:rFonts w:ascii="Times New Roman;Times;serif" w:hAnsi="Times New Roman;Times;serif"/>
          <w:b/>
          <w:i/>
          <w:caps w:val="false"/>
          <w:smallCaps w:val="false"/>
          <w:color w:val="000000"/>
          <w:spacing w:val="4"/>
          <w:sz w:val="18"/>
        </w:rPr>
        <w:t xml:space="preserve"> </w:t>
      </w:r>
    </w:p>
    <w:p>
      <w:pPr>
        <w:pStyle w:val="TextBody"/>
        <w:bidi w:val="0"/>
        <w:spacing w:lineRule="atLeast" w:line="180" w:before="4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Ryan Murr, Esq.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Branden Berns, Esq.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Melanie Neary, Esq.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Gibson, Dunn &amp; Crutcher LLP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One Embarcadero Center, Suite 2600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San Francisco, CA 94111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(415) 393-8373</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90" w:before="6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From time to time after this registration statement becomes effective.</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90" w:before="60" w:after="283"/>
        <w:jc w:val="center"/>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(Approximate date of commencement of proposed sale to the public) </w:t>
      </w:r>
    </w:p>
    <w:p>
      <w:pPr>
        <w:pStyle w:val="TextBody"/>
        <w:bidi w:val="0"/>
        <w:spacing w:lineRule="atLeast" w:line="19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the only securities being registered on this Form are being offered pursuant to dividend or interest reinvestment plans, please check the following box. ☐ </w:t>
      </w:r>
    </w:p>
    <w:p>
      <w:pPr>
        <w:pStyle w:val="TextBody"/>
        <w:bidi w:val="0"/>
        <w:spacing w:lineRule="atLeast" w:line="19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any of the securities being registered on this Form are to be offered on a delayed or continuous basis pursuant to Rule 415 under the Securities Act of 1933, as amended, other than securities offered only in connection with dividend or interest reinvestment plans, check the following box. ☒ </w:t>
      </w:r>
    </w:p>
    <w:p>
      <w:pPr>
        <w:pStyle w:val="TextBody"/>
        <w:bidi w:val="0"/>
        <w:spacing w:lineRule="atLeast" w:line="19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lineRule="atLeast" w:line="18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lineRule="atLeast" w:line="19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lineRule="atLeast" w:line="19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lineRule="atLeast" w:line="19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748" w:type="dxa"/>
        <w:jc w:val="left"/>
        <w:tblInd w:w="540" w:type="dxa"/>
        <w:tblLayout w:type="fixed"/>
        <w:tblCellMar>
          <w:top w:w="0" w:type="dxa"/>
          <w:left w:w="0" w:type="dxa"/>
          <w:bottom w:w="0" w:type="dxa"/>
          <w:right w:w="0" w:type="dxa"/>
        </w:tblCellMar>
      </w:tblPr>
      <w:tblGrid>
        <w:gridCol w:w="124"/>
        <w:gridCol w:w="2416"/>
        <w:gridCol w:w="109"/>
        <w:gridCol w:w="109"/>
        <w:gridCol w:w="2836"/>
        <w:gridCol w:w="154"/>
      </w:tblGrid>
      <w:tr>
        <w:trPr/>
        <w:tc>
          <w:tcPr>
            <w:tcW w:w="124" w:type="dxa"/>
            <w:tcBorders/>
            <w:vAlign w:val="center"/>
          </w:tcPr>
          <w:p>
            <w:pPr>
              <w:pStyle w:val="TableContents"/>
              <w:bidi w:val="0"/>
              <w:spacing w:before="0" w:after="283"/>
              <w:jc w:val="left"/>
              <w:rPr/>
            </w:pPr>
            <w:r>
              <w:rPr/>
              <w:t>​</w:t>
            </w:r>
          </w:p>
        </w:tc>
        <w:tc>
          <w:tcPr>
            <w:tcW w:w="2416" w:type="dxa"/>
            <w:tcBorders/>
            <w:vAlign w:val="center"/>
          </w:tcPr>
          <w:p>
            <w:pPr>
              <w:pStyle w:val="TableContents"/>
              <w:bidi w:val="0"/>
              <w:spacing w:lineRule="atLeast" w:line="180" w:before="0" w:after="0"/>
              <w:ind w:left="2040" w:right="0" w:hanging="0"/>
              <w:jc w:val="left"/>
              <w:rPr>
                <w:spacing w:val="4"/>
              </w:rPr>
            </w:pPr>
            <w:r>
              <w:rPr>
                <w:spacing w:val="4"/>
              </w:rPr>
              <w:t xml:space="preserve">☐ </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1295400" cy="525780"/>
                      <wp:effectExtent l="0" t="0" r="0" b="0"/>
                      <wp:wrapSquare wrapText="right"/>
                      <wp:docPr id="3" name="Frame1"/>
                      <a:graphic xmlns:a="http://schemas.openxmlformats.org/drawingml/2006/main">
                        <a:graphicData uri="http://schemas.microsoft.com/office/word/2010/wordprocessingShape">
                          <wps:wsp>
                            <wps:cNvSpPr txBox="1"/>
                            <wps:spPr>
                              <a:xfrm>
                                <a:off x="0" y="0"/>
                                <a:ext cx="1295400" cy="525780"/>
                              </a:xfrm>
                              <a:prstGeom prst="rect"/>
                              <a:solidFill>
                                <a:srgbClr val="FFFFFF"/>
                              </a:solidFill>
                            </wps:spPr>
                            <wps:txbx>
                              <w:txbxContent>
                                <w:p>
                                  <w:pPr>
                                    <w:pStyle w:val="TextBody"/>
                                    <w:bidi w:val="0"/>
                                    <w:spacing w:lineRule="atLeast" w:line="180" w:before="0" w:after="283"/>
                                    <w:jc w:val="left"/>
                                    <w:rPr/>
                                  </w:pPr>
                                  <w:r>
                                    <w:rPr>
                                      <w:spacing w:val="4"/>
                                    </w:rPr>
                                    <w:t>Large accelerated filer</w:t>
                                  </w:r>
                                  <w:r>
                                    <w:rPr/>
                                    <w:t xml:space="preserve"> </w:t>
                                    <w:br/>
                                  </w:r>
                                </w:p>
                              </w:txbxContent>
                            </wps:txbx>
                            <wps:bodyPr anchor="t" lIns="0" tIns="0" rIns="0" bIns="0">
                              <a:noAutofit/>
                            </wps:bodyPr>
                          </wps:wsp>
                        </a:graphicData>
                      </a:graphic>
                    </wp:anchor>
                  </w:drawing>
                </mc:Choice>
                <mc:Fallback>
                  <w:pict>
                    <v:rect style="position:absolute;rotation:-0;width:10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Large 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36" w:type="dxa"/>
            <w:tcBorders/>
            <w:vAlign w:val="center"/>
          </w:tcPr>
          <w:p>
            <w:pPr>
              <w:pStyle w:val="TableContents"/>
              <w:bidi w:val="0"/>
              <w:spacing w:lineRule="atLeast" w:line="180" w:before="0" w:after="0"/>
              <w:ind w:left="2460" w:right="0" w:hanging="0"/>
              <w:jc w:val="left"/>
              <w:rPr>
                <w:spacing w:val="4"/>
              </w:rPr>
            </w:pPr>
            <w:r>
              <w:rPr>
                <w:spacing w:val="4"/>
              </w:rPr>
              <w:t xml:space="preserve">☐ </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1562100" cy="350520"/>
                      <wp:effectExtent l="0" t="0" r="0" b="0"/>
                      <wp:wrapSquare wrapText="right"/>
                      <wp:docPr id="4" name="Frame2"/>
                      <a:graphic xmlns:a="http://schemas.openxmlformats.org/drawingml/2006/main">
                        <a:graphicData uri="http://schemas.microsoft.com/office/word/2010/wordprocessingShape">
                          <wps:wsp>
                            <wps:cNvSpPr txBox="1"/>
                            <wps:spPr>
                              <a:xfrm>
                                <a:off x="0" y="0"/>
                                <a:ext cx="1562100" cy="350520"/>
                              </a:xfrm>
                              <a:prstGeom prst="rect"/>
                              <a:solidFill>
                                <a:srgbClr val="FFFFFF"/>
                              </a:solidFill>
                            </wps:spPr>
                            <wps:txbx>
                              <w:txbxContent>
                                <w:p>
                                  <w:pPr>
                                    <w:pStyle w:val="TextBody"/>
                                    <w:bidi w:val="0"/>
                                    <w:spacing w:lineRule="atLeast" w:line="180" w:before="0" w:after="283"/>
                                    <w:jc w:val="left"/>
                                    <w:rPr/>
                                  </w:pPr>
                                  <w:r>
                                    <w:rPr>
                                      <w:spacing w:val="4"/>
                                    </w:rPr>
                                    <w:t>Accelerated filer</w:t>
                                  </w:r>
                                  <w:r>
                                    <w:rPr/>
                                    <w:t xml:space="preserve"> </w:t>
                                    <w:br/>
                                  </w:r>
                                </w:p>
                              </w:txbxContent>
                            </wps:txbx>
                            <wps:bodyPr anchor="t" lIns="0" tIns="0" rIns="0" bIns="0">
                              <a:noAutofit/>
                            </wps:bodyPr>
                          </wps:wsp>
                        </a:graphicData>
                      </a:graphic>
                    </wp:anchor>
                  </w:drawing>
                </mc:Choice>
                <mc:Fallback>
                  <w:pict>
                    <v:rect style="position:absolute;rotation:-0;width:12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416" w:type="dxa"/>
            <w:tcBorders/>
            <w:vAlign w:val="center"/>
          </w:tcPr>
          <w:p>
            <w:pPr>
              <w:pStyle w:val="TableContents"/>
              <w:bidi w:val="0"/>
              <w:spacing w:lineRule="atLeast" w:line="180" w:before="0" w:after="0"/>
              <w:ind w:left="2040" w:right="0" w:hanging="0"/>
              <w:jc w:val="left"/>
              <w:rPr>
                <w:spacing w:val="4"/>
              </w:rPr>
            </w:pPr>
            <w:r>
              <w:rPr>
                <w:spacing w:val="4"/>
              </w:rPr>
              <w:t xml:space="preserve">☒ </w: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1295400" cy="525780"/>
                      <wp:effectExtent l="0" t="0" r="0" b="0"/>
                      <wp:wrapSquare wrapText="right"/>
                      <wp:docPr id="5" name="Frame3"/>
                      <a:graphic xmlns:a="http://schemas.openxmlformats.org/drawingml/2006/main">
                        <a:graphicData uri="http://schemas.microsoft.com/office/word/2010/wordprocessingShape">
                          <wps:wsp>
                            <wps:cNvSpPr txBox="1"/>
                            <wps:spPr>
                              <a:xfrm>
                                <a:off x="0" y="0"/>
                                <a:ext cx="1295400" cy="525780"/>
                              </a:xfrm>
                              <a:prstGeom prst="rect"/>
                              <a:solidFill>
                                <a:srgbClr val="FFFFFF"/>
                              </a:solidFill>
                            </wps:spPr>
                            <wps:txbx>
                              <w:txbxContent>
                                <w:p>
                                  <w:pPr>
                                    <w:pStyle w:val="TextBody"/>
                                    <w:bidi w:val="0"/>
                                    <w:spacing w:lineRule="atLeast" w:line="180" w:before="0" w:after="283"/>
                                    <w:jc w:val="left"/>
                                    <w:rPr/>
                                  </w:pPr>
                                  <w:r>
                                    <w:rPr>
                                      <w:spacing w:val="4"/>
                                    </w:rPr>
                                    <w:t>Non-accelerated filer</w:t>
                                  </w:r>
                                  <w:r>
                                    <w:rPr/>
                                    <w:t xml:space="preserve"> </w:t>
                                    <w:br/>
                                  </w:r>
                                </w:p>
                              </w:txbxContent>
                            </wps:txbx>
                            <wps:bodyPr anchor="t" lIns="0" tIns="0" rIns="0" bIns="0">
                              <a:noAutofit/>
                            </wps:bodyPr>
                          </wps:wsp>
                        </a:graphicData>
                      </a:graphic>
                    </wp:anchor>
                  </w:drawing>
                </mc:Choice>
                <mc:Fallback>
                  <w:pict>
                    <v:rect style="position:absolute;rotation:-0;width:10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Non-accelerated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36" w:type="dxa"/>
            <w:tcBorders/>
            <w:vAlign w:val="center"/>
          </w:tcPr>
          <w:p>
            <w:pPr>
              <w:pStyle w:val="TableContents"/>
              <w:bidi w:val="0"/>
              <w:spacing w:lineRule="atLeast" w:line="180" w:before="0" w:after="0"/>
              <w:ind w:left="2460" w:right="0" w:hanging="0"/>
              <w:jc w:val="left"/>
              <w:rPr>
                <w:spacing w:val="4"/>
              </w:rPr>
            </w:pPr>
            <w:r>
              <w:rPr>
                <w:spacing w:val="4"/>
              </w:rPr>
              <w:t xml:space="preserve">☒ </w:t>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1562100" cy="525780"/>
                      <wp:effectExtent l="0" t="0" r="0" b="0"/>
                      <wp:wrapSquare wrapText="right"/>
                      <wp:docPr id="6" name="Frame4"/>
                      <a:graphic xmlns:a="http://schemas.openxmlformats.org/drawingml/2006/main">
                        <a:graphicData uri="http://schemas.microsoft.com/office/word/2010/wordprocessingShape">
                          <wps:wsp>
                            <wps:cNvSpPr txBox="1"/>
                            <wps:spPr>
                              <a:xfrm>
                                <a:off x="0" y="0"/>
                                <a:ext cx="1562100" cy="525780"/>
                              </a:xfrm>
                              <a:prstGeom prst="rect"/>
                              <a:solidFill>
                                <a:srgbClr val="FFFFFF"/>
                              </a:solidFill>
                            </wps:spPr>
                            <wps:txbx>
                              <w:txbxContent>
                                <w:p>
                                  <w:pPr>
                                    <w:pStyle w:val="TextBody"/>
                                    <w:bidi w:val="0"/>
                                    <w:spacing w:lineRule="atLeast" w:line="180" w:before="0" w:after="283"/>
                                    <w:jc w:val="left"/>
                                    <w:rPr/>
                                  </w:pPr>
                                  <w:r>
                                    <w:rPr>
                                      <w:spacing w:val="4"/>
                                    </w:rPr>
                                    <w:t>Smaller reporting company</w:t>
                                  </w:r>
                                  <w:r>
                                    <w:rPr/>
                                    <w:t xml:space="preserve"> </w:t>
                                    <w:br/>
                                  </w:r>
                                </w:p>
                              </w:txbxContent>
                            </wps:txbx>
                            <wps:bodyPr anchor="t" lIns="0" tIns="0" rIns="0" bIns="0">
                              <a:noAutofit/>
                            </wps:bodyPr>
                          </wps:wsp>
                        </a:graphicData>
                      </a:graphic>
                    </wp:anchor>
                  </w:drawing>
                </mc:Choice>
                <mc:Fallback>
                  <w:pict>
                    <v:rect style="position:absolute;rotation:-0;width:12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Smaller reporting company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41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36" w:type="dxa"/>
            <w:tcBorders/>
            <w:vAlign w:val="center"/>
          </w:tcPr>
          <w:p>
            <w:pPr>
              <w:pStyle w:val="TableContents"/>
              <w:bidi w:val="0"/>
              <w:spacing w:lineRule="atLeast" w:line="180" w:before="0" w:after="0"/>
              <w:ind w:left="2460" w:right="0" w:hanging="0"/>
              <w:jc w:val="left"/>
              <w:rPr/>
            </w:pPr>
            <w:r>
              <w:rPr>
                <w:spacing w:val="4"/>
              </w:rPr>
              <w:t>☐</w:t>
            </w:r>
            <w:r>
              <w:rPr/>
              <w:t xml:space="preserve"> </w:t>
            </w:r>
            <w:r>
              <mc:AlternateContent>
                <mc:Choice Requires="wps">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1562100" cy="525780"/>
                      <wp:effectExtent l="0" t="0" r="0" b="0"/>
                      <wp:wrapSquare wrapText="right"/>
                      <wp:docPr id="7" name="Frame5"/>
                      <a:graphic xmlns:a="http://schemas.openxmlformats.org/drawingml/2006/main">
                        <a:graphicData uri="http://schemas.microsoft.com/office/word/2010/wordprocessingShape">
                          <wps:wsp>
                            <wps:cNvSpPr txBox="1"/>
                            <wps:spPr>
                              <a:xfrm>
                                <a:off x="0" y="0"/>
                                <a:ext cx="1562100" cy="525780"/>
                              </a:xfrm>
                              <a:prstGeom prst="rect"/>
                              <a:solidFill>
                                <a:srgbClr val="FFFFFF"/>
                              </a:solidFill>
                            </wps:spPr>
                            <wps:txbx>
                              <w:txbxContent>
                                <w:p>
                                  <w:pPr>
                                    <w:pStyle w:val="TextBody"/>
                                    <w:bidi w:val="0"/>
                                    <w:spacing w:lineRule="atLeast" w:line="180" w:before="0" w:after="283"/>
                                    <w:jc w:val="left"/>
                                    <w:rPr/>
                                  </w:pPr>
                                  <w:r>
                                    <w:rPr>
                                      <w:spacing w:val="4"/>
                                    </w:rPr>
                                    <w:t>Emerging growth company</w:t>
                                  </w:r>
                                  <w:r>
                                    <w:rPr/>
                                    <w:t xml:space="preserve"> </w:t>
                                    <w:br/>
                                  </w:r>
                                </w:p>
                              </w:txbxContent>
                            </wps:txbx>
                            <wps:bodyPr anchor="t" lIns="0" tIns="0" rIns="0" bIns="0">
                              <a:noAutofit/>
                            </wps:bodyPr>
                          </wps:wsp>
                        </a:graphicData>
                      </a:graphic>
                    </wp:anchor>
                  </w:drawing>
                </mc:Choice>
                <mc:Fallback>
                  <w:pict>
                    <v:rect style="position:absolute;rotation:-0;width:12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Emerging growth company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90" w:before="216"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lineRule="atLeast" w:line="190" w:before="60" w:after="283"/>
        <w:ind w:left="540" w:right="0" w:firstLine="400"/>
        <w:jc w:val="left"/>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r>
        <w:rPr>
          <w:rFonts w:ascii="Times New Roman;Times;serif" w:hAnsi="Times New Roman;Times;serif"/>
          <w:b/>
          <w:i w:val="false"/>
          <w:caps w:val="false"/>
          <w:smallCaps w:val="false"/>
          <w:color w:val="000000"/>
          <w:sz w:val="18"/>
        </w:rPr>
        <w:t xml:space="preserve"> </w:t>
      </w:r>
    </w:p>
    <w:p>
      <w:pPr>
        <w:pStyle w:val="TextBody"/>
        <w:bidi w:val="0"/>
        <w:spacing w:before="80"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30"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EXPLANATORY NOTE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This Post-Effective Amendment No. 1 to the Registration Statement on Form S-3 (File No. 333</w:t>
        <w:noBreakHyphen/>
        <w:t xml:space="preserve">277609) is being filed to reflect the Registrant’s completion of its merger with Yarrow Bioscience Operating Company Corp. (formerly known as Yarrow Bioscience, Inc.) and the Registrant’s related change of name from “VYNE Therapeutics Inc.” to “Yarrow Bioscience, Inc.”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registration statement contains two prospectuses: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base prospectus, which covers the offering, issuance and sale by us of the securities identified below from time to time in one or more offerings, with a total value of up to $250.0 million; and </w:t>
      </w:r>
      <w:r>
        <mc:AlternateContent>
          <mc:Choice Requires="wps">
            <w:drawing>
              <wp:anchor behindDoc="0" distT="7620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8"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sales agreement prospectus covering the offering, issuance and sale by us of up to a maximum aggregate offering price of $50.0 million of our common stock that may be issued and sold under the Amended and Restated Sales Agreement (the “A&amp;R Sales Agreement”), dated August 13, 2026, between us and TD Securities (USA) LLC. </w:t>
      </w:r>
      <w:r>
        <mc:AlternateContent>
          <mc:Choice Requires="wps">
            <w:drawing>
              <wp:anchor behindDoc="0" distT="7620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9"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base prospectus immediately follows this explanatory note. The specific terms of any securities to be offered pursuant to the base prospectus, other than the shares under the A&amp;R Sales Agreement, will be specified in a prospectus supplement to the base prospectus. The specific terms of the securities to be issued and sold under the A&amp;R Sales Agreement are specified in the sales agreement prospectus that immediately follows the base prospectus. The $50.0 million of common stock that may be offered, issued and sold under the sales agreement prospectus is included in the $250.0 million of securities that may be offered, issued and sold by us under the base prospectus, and upon termination of the offering under the A&amp;R Sales Agreement, any portion of the $50.0 million of securities included in the sales agreement prospectus that is not sold pursuant to the A&amp;R Sales Agreement will be available for sale in other offerings pursuant to the base prospectus.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753" w:right="0" w:hanging="0"/>
        <w:jc w:val="center"/>
        <w:rPr>
          <w:rFonts w:ascii="Times New Roman;Times;serif" w:hAnsi="Times New Roman;Times;serif"/>
          <w:b/>
          <w:i w:val="false"/>
          <w:caps w:val="false"/>
          <w:smallCaps w:val="false"/>
          <w:color w:val="FC0014"/>
          <w:sz w:val="20"/>
        </w:rPr>
      </w:pPr>
      <w:r>
        <w:rPr>
          <w:rFonts w:ascii="Times New Roman;Times;serif" w:hAnsi="Times New Roman;Times;serif"/>
          <w:b/>
          <w:i w:val="false"/>
          <w:caps w:val="false"/>
          <w:smallCaps w:val="false"/>
          <w:color w:val="FC0014"/>
          <w:spacing w:val="-4"/>
          <w:sz w:val="20"/>
        </w:rPr>
        <w:t>Subject to completion, dated August 13,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$250,000,000</w:t>
      </w:r>
      <w:r>
        <w:rPr>
          <w:rFonts w:ascii="Times New Roman;Times;serif" w:hAnsi="Times New Roman;Times;serif"/>
          <w:b/>
          <w:i w:val="false"/>
          <w:caps w:val="false"/>
          <w:smallCaps w:val="false"/>
          <w:color w:val="000000"/>
          <w:spacing w:val="6"/>
          <w:sz w:val="28"/>
        </w:rPr>
        <w:t xml:space="preserve"> </w:t>
      </w:r>
    </w:p>
    <w:p>
      <w:pPr>
        <w:pStyle w:val="TextBody"/>
        <w:bidi w:val="0"/>
        <w:spacing w:before="120" w:after="283"/>
        <w:jc w:val="center"/>
        <w:rPr>
          <w:caps w:val="false"/>
          <w:smallCaps w:val="false"/>
          <w:color w:val="000000"/>
        </w:rPr>
      </w:pPr>
      <w:r>
        <w:rPr>
          <w:caps w:val="false"/>
          <w:smallCaps w:val="false"/>
          <w:color w:val="000000"/>
        </w:rPr>
        <w:drawing>
          <wp:inline distT="0" distB="0" distL="0" distR="0">
            <wp:extent cx="2952750" cy="1009650"/>
            <wp:effectExtent l="0" t="0" r="0" b="0"/>
            <wp:docPr id="1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 descr=""/>
                    <pic:cNvPicPr>
                      <a:picLocks noChangeAspect="1" noChangeArrowheads="1"/>
                    </pic:cNvPicPr>
                  </pic:nvPicPr>
                  <pic:blipFill>
                    <a:blip r:embed="rId2"/>
                    <a:stretch>
                      <a:fillRect/>
                    </a:stretch>
                  </pic:blipFill>
                  <pic:spPr bwMode="auto">
                    <a:xfrm>
                      <a:off x="0" y="0"/>
                      <a:ext cx="2952750" cy="1009650"/>
                    </a:xfrm>
                    <a:prstGeom prst="rect">
                      <a:avLst/>
                    </a:prstGeom>
                  </pic:spPr>
                </pic:pic>
              </a:graphicData>
            </a:graphic>
          </wp:inline>
        </w:drawing>
      </w:r>
      <w:r>
        <w:rPr>
          <w:caps w:val="false"/>
          <w:smallCaps w:val="false"/>
          <w:color w:val="000000"/>
        </w:rPr>
        <w:t xml:space="preserve"> </w:t>
      </w:r>
    </w:p>
    <w:p>
      <w:pPr>
        <w:pStyle w:val="TextBody"/>
        <w:bidi w:val="0"/>
        <w:spacing w:lineRule="atLeast" w:line="400" w:before="332"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Yarrow Bioscience, Inc.</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1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Common Stock</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Preferred Stock</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Warrants</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3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and sell from time to time, in one or more series or issuances and on terms that we will determine at the time of the offering, up to $250.0 million of any combination of the securities described in this prospectus. We may also offer securities as may be issuable upon conversion, redemption, repurchase, exchange or exercise of any securities registered hereunder, including any applicable antidilution provisions. </w:t>
      </w:r>
    </w:p>
    <w:p>
      <w:pPr>
        <w:pStyle w:val="TextBody"/>
        <w:bidi w:val="0"/>
        <w:spacing w:lineRule="atLeast" w:line="23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provide specific terms of any offering in one or more supplements to this prospectus. We may also authorize one or more free writing prospectuses to be provided to you in connection with these offerings. Any prospectus supplement and any related free writing prospectus may also add, update, or change information contained in this prospectus. You should carefully read this prospectus, the applicable prospectus supplement and any related free writing prospectus, as well as the documents incorporated or deemed to be incorporated by reference in this prospectus before you purchase any of the securities offered hereby. </w:t>
      </w:r>
    </w:p>
    <w:p>
      <w:pPr>
        <w:pStyle w:val="TextBody"/>
        <w:bidi w:val="0"/>
        <w:spacing w:lineRule="atLeast" w:line="230" w:before="160" w:after="283"/>
        <w:ind w:left="1753" w:right="0" w:firstLine="400"/>
        <w:jc w:val="left"/>
        <w:rPr/>
      </w:pPr>
      <w:r>
        <w:rPr>
          <w:rFonts w:ascii="Times New Roman;Times;serif" w:hAnsi="Times New Roman;Times;serif"/>
          <w:b w:val="false"/>
          <w:i w:val="false"/>
          <w:caps w:val="false"/>
          <w:smallCaps w:val="false"/>
          <w:color w:val="000000"/>
          <w:spacing w:val="4"/>
          <w:sz w:val="20"/>
        </w:rPr>
        <w:t xml:space="preserve">These securities may be offered and sold in the same offering or in separate offerings; to or through underwriters, dealers, and agents; or directly to purchasers. The names of any underwriters, dealers, or agents involved in the sale of our securities, their compensation and any options granted to them to purchase additional shares will be described in the applicable prospectus supplement. For a more complete description of the plan of distribution of these securities, see the section entitled “Plan of Distribution” beginning on page </w:t>
      </w:r>
      <w:hyperlink w:anchor="sPOD">
        <w:r>
          <w:rPr>
            <w:rStyle w:val="InternetLink"/>
          </w:rPr>
          <w:t>14</w:t>
        </w:r>
      </w:hyperlink>
      <w:r>
        <w:rPr>
          <w:rFonts w:ascii="Times New Roman;Times;serif" w:hAnsi="Times New Roman;Times;serif"/>
          <w:b w:val="false"/>
          <w:i w:val="false"/>
          <w:caps w:val="false"/>
          <w:smallCaps w:val="false"/>
          <w:color w:val="000000"/>
          <w:spacing w:val="4"/>
          <w:sz w:val="20"/>
        </w:rPr>
        <w:t xml:space="preserve"> of this prospectus. </w:t>
      </w:r>
    </w:p>
    <w:p>
      <w:pPr>
        <w:pStyle w:val="TextBody"/>
        <w:bidi w:val="0"/>
        <w:spacing w:lineRule="atLeast" w:line="23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“smaller reporting company” under the federal securities laws and, as such, are subject to reduced public company reporting requirements. See “Summary — Implications of Being a Smaller Reporting Company.” </w:t>
      </w:r>
    </w:p>
    <w:p>
      <w:pPr>
        <w:pStyle w:val="TextBody"/>
        <w:bidi w:val="0"/>
        <w:spacing w:lineRule="atLeast" w:line="230" w:before="160" w:after="283"/>
        <w:ind w:left="175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prospectus may not be used to consummate a sale of any securities unless accompanied by a prospectus supplement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Nasdaq Capital Market (“Nasdaq”), under the symbol “YARW.” On August 12, 2026, the closing price of our common stock was $42.77 per share. We will provide information in any applicable prospectus supplement regarding any listing of securities other than shares of our common stock on any securities exchange. Our principal executive offices are located at 470 James Street, Suite 007, New Haven, Connecticut 06513 and our telephone number is (203) 433-7577. </w:t>
      </w:r>
    </w:p>
    <w:p>
      <w:pPr>
        <w:pStyle w:val="TextBody"/>
        <w:bidi w:val="0"/>
        <w:spacing w:lineRule="atLeast" w:line="230" w:before="160" w:after="283"/>
        <w:ind w:left="1753" w:right="0" w:firstLine="400"/>
        <w:jc w:val="left"/>
        <w:rPr/>
      </w:pPr>
      <w:r>
        <w:rPr>
          <w:rFonts w:ascii="Times New Roman;Times;serif" w:hAnsi="Times New Roman;Times;serif"/>
          <w:b/>
          <w:i w:val="false"/>
          <w:caps w:val="false"/>
          <w:smallCaps w:val="false"/>
          <w:color w:val="000000"/>
          <w:spacing w:val="-4"/>
          <w:sz w:val="20"/>
        </w:rPr>
        <w:t xml:space="preserve">Investing in our securities involves significant risks. See “Risk Factors” beginning on page </w:t>
      </w:r>
      <w:hyperlink w:anchor="sRIFA">
        <w:r>
          <w:rPr>
            <w:rStyle w:val="InternetLink"/>
          </w:rPr>
          <w:t>4</w:t>
        </w:r>
      </w:hyperlink>
      <w:r>
        <w:rPr>
          <w:rFonts w:ascii="Times New Roman;Times;serif" w:hAnsi="Times New Roman;Times;serif"/>
          <w:b/>
          <w:i w:val="false"/>
          <w:caps w:val="false"/>
          <w:smallCaps w:val="false"/>
          <w:color w:val="000000"/>
          <w:spacing w:val="-4"/>
          <w:sz w:val="20"/>
        </w:rPr>
        <w:t xml:space="preserve"> of this prospectus and in the applicable prospectus supplement and in the documents incorporated by reference in this prospectus and any applicable prospectus supplement before investing in any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75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state securities commission has approved or disapproved of these securities or passed upon the adequacy or accuracy of this prospectus.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date of this prospectus is            , 2026.</w:t>
      </w:r>
      <w:r>
        <w:rPr>
          <w:rFonts w:ascii="Times New Roman;Times;serif" w:hAnsi="Times New Roman;Time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35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703"/>
        <w:gridCol w:w="109"/>
        <w:gridCol w:w="109"/>
        <w:gridCol w:w="109"/>
        <w:gridCol w:w="109"/>
        <w:gridCol w:w="409"/>
        <w:gridCol w:w="109"/>
        <w:gridCol w:w="155"/>
      </w:tblGrid>
      <w:tr>
        <w:trPr/>
        <w:tc>
          <w:tcPr>
            <w:tcW w:w="770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703" w:type="dxa"/>
            <w:tcBorders/>
            <w:shd w:fill="CCEEFF" w:val="clear"/>
            <w:tcMar>
              <w:bottom w:w="0" w:type="dxa"/>
            </w:tcMar>
            <w:vAlign w:val="center"/>
          </w:tcPr>
          <w:p>
            <w:pPr>
              <w:pStyle w:val="TableContents"/>
              <w:bidi w:val="0"/>
              <w:spacing w:before="0" w:after="0"/>
              <w:jc w:val="left"/>
              <w:rPr/>
            </w:pPr>
            <w:hyperlink w:anchor="sATP">
              <w:r>
                <w:rPr>
                  <w:rStyle w:val="InternetLink"/>
                  <w:spacing w:val="4"/>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sATP">
              <w:r>
                <w:rPr>
                  <w:rStyle w:val="InternetLink"/>
                  <w:spacing w:val="4"/>
                </w:rPr>
                <w:t>ii</w:t>
              </w:r>
            </w:hyperlink>
            <w:hyperlink w:anchor="sAT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3" w:type="dxa"/>
            <w:tcBorders/>
            <w:tcMar>
              <w:bottom w:w="0" w:type="dxa"/>
            </w:tcMar>
            <w:vAlign w:val="center"/>
          </w:tcPr>
          <w:p>
            <w:pPr>
              <w:pStyle w:val="TableContents"/>
              <w:bidi w:val="0"/>
              <w:spacing w:before="0" w:after="0"/>
              <w:jc w:val="left"/>
              <w:rPr/>
            </w:pPr>
            <w:hyperlink w:anchor="sSUF2">
              <w:r>
                <w:rPr>
                  <w:rStyle w:val="InternetLink"/>
                  <w:spacing w:val="4"/>
                </w:rPr>
                <w:t xml:space="preserve">SUMMARY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sSUF2">
              <w:r>
                <w:rPr>
                  <w:rStyle w:val="InternetLink"/>
                  <w:spacing w:val="4"/>
                </w:rPr>
                <w:t>1</w:t>
              </w:r>
            </w:hyperlink>
            <w:hyperlink w:anchor="sSUF2">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3" w:type="dxa"/>
            <w:tcBorders/>
            <w:shd w:fill="CCEEFF" w:val="clear"/>
            <w:tcMar>
              <w:bottom w:w="0" w:type="dxa"/>
            </w:tcMar>
            <w:vAlign w:val="center"/>
          </w:tcPr>
          <w:p>
            <w:pPr>
              <w:pStyle w:val="TableContents"/>
              <w:bidi w:val="0"/>
              <w:spacing w:before="0" w:after="0"/>
              <w:jc w:val="left"/>
              <w:rPr/>
            </w:pPr>
            <w:hyperlink w:anchor="sRIFA">
              <w:r>
                <w:rPr>
                  <w:rStyle w:val="InternetLink"/>
                  <w:spacing w:val="4"/>
                </w:rPr>
                <w:t xml:space="preserve">RISK FACTORS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sRIFA">
              <w:r>
                <w:rPr>
                  <w:rStyle w:val="InternetLink"/>
                  <w:spacing w:val="4"/>
                </w:rPr>
                <w:t>4</w:t>
              </w:r>
            </w:hyperlink>
            <w:hyperlink w:anchor="sRIF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3" w:type="dxa"/>
            <w:tcBorders/>
            <w:tcMar>
              <w:bottom w:w="0" w:type="dxa"/>
            </w:tcMar>
            <w:vAlign w:val="center"/>
          </w:tcPr>
          <w:p>
            <w:pPr>
              <w:pStyle w:val="TableContents"/>
              <w:bidi w:val="0"/>
              <w:spacing w:before="0" w:after="0"/>
              <w:jc w:val="left"/>
              <w:rPr/>
            </w:pPr>
            <w:hyperlink w:anchor="sSNRF">
              <w:r>
                <w:rPr>
                  <w:rStyle w:val="InternetLink"/>
                  <w:spacing w:val="4"/>
                </w:rPr>
                <w:t xml:space="preserve">SPECIAL NOTE REGARDING FORWARD-LOOKING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sSNRF">
              <w:r>
                <w:rPr>
                  <w:rStyle w:val="InternetLink"/>
                  <w:spacing w:val="4"/>
                </w:rPr>
                <w:t>5</w:t>
              </w:r>
            </w:hyperlink>
            <w:hyperlink w:anchor="sSNR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3" w:type="dxa"/>
            <w:tcBorders/>
            <w:shd w:fill="CCEEFF" w:val="clear"/>
            <w:tcMar>
              <w:bottom w:w="0" w:type="dxa"/>
            </w:tcMar>
            <w:vAlign w:val="center"/>
          </w:tcPr>
          <w:p>
            <w:pPr>
              <w:pStyle w:val="TableContents"/>
              <w:bidi w:val="0"/>
              <w:spacing w:before="0" w:after="0"/>
              <w:jc w:val="left"/>
              <w:rPr/>
            </w:pPr>
            <w:hyperlink w:anchor="sUOP">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sUOP">
              <w:r>
                <w:rPr>
                  <w:rStyle w:val="InternetLink"/>
                  <w:spacing w:val="4"/>
                </w:rPr>
                <w:t>7</w:t>
              </w:r>
            </w:hyperlink>
            <w:hyperlink w:anchor="sUO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3" w:type="dxa"/>
            <w:tcBorders/>
            <w:tcMar>
              <w:bottom w:w="0" w:type="dxa"/>
            </w:tcMar>
            <w:vAlign w:val="center"/>
          </w:tcPr>
          <w:p>
            <w:pPr>
              <w:pStyle w:val="TableContents"/>
              <w:bidi w:val="0"/>
              <w:spacing w:before="0" w:after="0"/>
              <w:jc w:val="left"/>
              <w:rPr/>
            </w:pPr>
            <w:hyperlink w:anchor="sSWMO">
              <w:r>
                <w:rPr>
                  <w:rStyle w:val="InternetLink"/>
                  <w:spacing w:val="4"/>
                </w:rPr>
                <w:t xml:space="preserve">SECURITIES WE MAY OFFER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sSWMO">
              <w:r>
                <w:rPr>
                  <w:rStyle w:val="InternetLink"/>
                  <w:spacing w:val="4"/>
                </w:rPr>
                <w:t>8</w:t>
              </w:r>
            </w:hyperlink>
            <w:hyperlink w:anchor="sSWM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3" w:type="dxa"/>
            <w:tcBorders/>
            <w:shd w:fill="CCEEFF" w:val="clear"/>
            <w:tcMar>
              <w:bottom w:w="0" w:type="dxa"/>
            </w:tcMar>
            <w:vAlign w:val="center"/>
          </w:tcPr>
          <w:p>
            <w:pPr>
              <w:pStyle w:val="TableContents"/>
              <w:bidi w:val="0"/>
              <w:spacing w:before="0" w:after="0"/>
              <w:jc w:val="left"/>
              <w:rPr/>
            </w:pPr>
            <w:hyperlink w:anchor="sPOD">
              <w:r>
                <w:rPr>
                  <w:rStyle w:val="InternetLink"/>
                  <w:spacing w:val="4"/>
                </w:rPr>
                <w:t xml:space="preserve">PLAN OF DISTRIBUTION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sPOD">
              <w:r>
                <w:rPr>
                  <w:rStyle w:val="InternetLink"/>
                  <w:spacing w:val="4"/>
                </w:rPr>
                <w:t>14</w:t>
              </w:r>
            </w:hyperlink>
            <w:hyperlink w:anchor="sPO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3" w:type="dxa"/>
            <w:tcBorders/>
            <w:tcMar>
              <w:bottom w:w="0" w:type="dxa"/>
            </w:tcMar>
            <w:vAlign w:val="center"/>
          </w:tcPr>
          <w:p>
            <w:pPr>
              <w:pStyle w:val="TableContents"/>
              <w:bidi w:val="0"/>
              <w:spacing w:before="0" w:after="0"/>
              <w:jc w:val="left"/>
              <w:rPr/>
            </w:pPr>
            <w:hyperlink w:anchor="sLEMA">
              <w:r>
                <w:rPr>
                  <w:rStyle w:val="InternetLink"/>
                  <w:spacing w:val="4"/>
                </w:rPr>
                <w:t xml:space="preserve">LEGAL MATTERS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sLEMA">
              <w:r>
                <w:rPr>
                  <w:rStyle w:val="InternetLink"/>
                  <w:spacing w:val="4"/>
                </w:rPr>
                <w:t>17</w:t>
              </w:r>
            </w:hyperlink>
            <w:hyperlink w:anchor="sLEM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3" w:type="dxa"/>
            <w:tcBorders/>
            <w:shd w:fill="CCEEFF" w:val="clear"/>
            <w:tcMar>
              <w:bottom w:w="0" w:type="dxa"/>
            </w:tcMar>
            <w:vAlign w:val="center"/>
          </w:tcPr>
          <w:p>
            <w:pPr>
              <w:pStyle w:val="TableContents"/>
              <w:bidi w:val="0"/>
              <w:spacing w:before="0" w:after="0"/>
              <w:jc w:val="left"/>
              <w:rPr/>
            </w:pPr>
            <w:hyperlink w:anchor="sEXP">
              <w:r>
                <w:rPr>
                  <w:rStyle w:val="InternetLink"/>
                  <w:spacing w:val="4"/>
                </w:rPr>
                <w:t xml:space="preserve">EXPERTS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sEXP">
              <w:r>
                <w:rPr>
                  <w:rStyle w:val="InternetLink"/>
                  <w:spacing w:val="4"/>
                </w:rPr>
                <w:t>17</w:t>
              </w:r>
            </w:hyperlink>
            <w:hyperlink w:anchor="sEX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3" w:type="dxa"/>
            <w:tcBorders/>
            <w:tcMar>
              <w:bottom w:w="0" w:type="dxa"/>
            </w:tcMar>
            <w:vAlign w:val="center"/>
          </w:tcPr>
          <w:p>
            <w:pPr>
              <w:pStyle w:val="TableContents"/>
              <w:bidi w:val="0"/>
              <w:spacing w:before="0" w:after="0"/>
              <w:jc w:val="left"/>
              <w:rPr/>
            </w:pPr>
            <w:hyperlink w:anchor="sWYCF">
              <w:r>
                <w:rPr>
                  <w:rStyle w:val="InternetLink"/>
                  <w:spacing w:val="4"/>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sWYCF">
              <w:r>
                <w:rPr>
                  <w:rStyle w:val="InternetLink"/>
                  <w:spacing w:val="4"/>
                </w:rPr>
                <w:t>18</w:t>
              </w:r>
            </w:hyperlink>
            <w:hyperlink w:anchor="sWYC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3" w:type="dxa"/>
            <w:tcBorders/>
            <w:shd w:fill="CCEEFF" w:val="clear"/>
            <w:tcMar>
              <w:bottom w:w="0" w:type="dxa"/>
            </w:tcMar>
            <w:vAlign w:val="center"/>
          </w:tcPr>
          <w:p>
            <w:pPr>
              <w:pStyle w:val="TableContents"/>
              <w:bidi w:val="0"/>
              <w:spacing w:before="0" w:after="0"/>
              <w:jc w:val="left"/>
              <w:rPr/>
            </w:pPr>
            <w:hyperlink w:anchor="sIBR">
              <w:r>
                <w:rPr>
                  <w:rStyle w:val="InternetLink"/>
                  <w:spacing w:val="4"/>
                </w:rPr>
                <w:t xml:space="preserve">INCORPORATION BY REFERENCE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sIBR">
              <w:r>
                <w:rPr>
                  <w:rStyle w:val="InternetLink"/>
                  <w:spacing w:val="4"/>
                </w:rPr>
                <w:t>19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sATP"/>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that we filed with the Securities and Exchange Commission, which we refer to as the “SEC” or the “Commission,” utilizing a “shelf” registration process. Under this shelf registration process, we may, from time to time, sell any combination of the securities described in this prospectus in one or more offerings, up to a total amount of $250.0 million.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This prospectus provides you with a general description of the securities we may offer. Each time we sell securities pursuant to this prospectus, we will provide one or more prospectus supplements that will contain specific information about the terms of the offering. The specific terms of the offered securities may vary from the general terms of the securities described in this prospectus, and accordingly the description of the securities contained in this prospectus is subject to, and qualified by reference to, the specific terms of the offered securities contained in the applicable prospectus supplement.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information contained in this prospectus or in the documents that we have incorporated by reference into this prospectus. You should carefully read both this prospectus, any applicable prospectus supplement and any free writing prospectuses we have authorized for use in connection with a specific offering, together with the additional information described under the heading “Where You Can Find More Information” beginning on page </w:t>
      </w:r>
      <w:hyperlink w:anchor="sWYCF">
        <w:r>
          <w:rPr>
            <w:rStyle w:val="InternetLink"/>
          </w:rPr>
          <w:t>18</w:t>
        </w:r>
      </w:hyperlink>
      <w:r>
        <w:rPr>
          <w:rFonts w:ascii="Times New Roman;Times;serif" w:hAnsi="Times New Roman;Times;serif"/>
          <w:b w:val="false"/>
          <w:i w:val="false"/>
          <w:caps w:val="false"/>
          <w:smallCaps w:val="false"/>
          <w:color w:val="000000"/>
          <w:spacing w:val="4"/>
          <w:sz w:val="20"/>
        </w:rPr>
        <w:t xml:space="preserve"> of this prospectus.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prospectus may not be used to consummate a sale of securities unless it is accompanied by a 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rely only on the information contained in or incorporated by reference in this prospectus, any applicable prospectus supplement or in any related free writing prospectus filed by us with the SEC. We have not authorized anyone to provide you with different information. We take no responsibility for, and can provide no assurance as to the reliability of, any information that others may provide. This prospectus, any applicable prospectus supplement to this prospectus or any related free writing prospectus do not constitute an offer to sell or the solicitation of an offer to buy any securities other than the registered securities to which they relate, nor do this prospectus, any applicable supplement to this prospectus or any related free writing prospectus constitute an offer to sell or the solicitation of an offer to buy such securities in any circumstances in which such offer or solicitation is unlawful. We are not making offers to sell the securities in any jurisdiction in which an offer or solicitation is not authorized or in which the person making such offer or solicitation is not qualified to do so or to anyone to whom it is unlawful to make an offer or solicitation. You should assume that the information in this prospectus, any applicable prospectus supplement, any free writing prospectus and any information in documents that we have incorporated by reference is accurate only as of their respective dates. Our business, financial condition, results of operations and prospects may have changed materially since those dates.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and the information incorporated herein by reference contain summaries of certain provisions contained in some of the documents described herein, but reference is made to the actual documents for more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titled “Where You Can Find More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Unless otherwise stated, all references in this prospectus to “we,” “us,” “our,” “the company,” “YARW,” “Yarrow” and similar designations, except where the context requires otherwise, refer collectively to Yarrow Bioscience, Inc., a Delaware corporation, together with its consolidated subsidiaries.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sSUF2"/>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This summary highlights selected information from this prospectus and does not contain all of the information that you need to consider in making your investment decision. You should carefully read the entire prospectus and any applicable prospectus supplement, including the risks of investing in our securities discussed under the heading “Risk Factors” contained in the applicable prospectus supplement, and under similar headings in the other documents that are incorporated by reference into this prospectus. You should also carefully read the information incorporated by reference into this prospectus, including our financial statements and related notes, and the exhibits to the registration statement of which this prospectus is a part, before making your investment decision.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About Yarrow Bioscience, Inc.</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 clinical-stage biotechnology company focused on developing transformative therapies to treat autoimmune thyroid diseases. Our lead product candidate, YB-101 (also known as GenSci098), is a humanized, monoclonal antibody targeting the thyroid-stimulating hormone receptor (“TSHR”), which we plan to develop for the treatment of Graves’ disease, or GD, and potentially thyroid eye disease (“TED”). Both GD and TED are serious and poorly treated autoimmune diseases in which autoantibodies against TSHR attack and overstimulate the receptor, leading to a wide spectrum of thyroidal and extra-thyroidal clinical sequelae.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YB-101 was designed to selectively bind to TSHR and block autoantibody-induced receptor activation, thereby directly inhibiting the pathogenic activity of thyroid-stimulating autoantibodies that drive disease progression in GD and TED as well as the biological pathway responsible for hyperthyroidism and orbitopathy. We believe that this novel and targeted approach represents a potential breakthrough for patients with GD and TED and has the potential to address an important unmet need for therapies with differentiated risk-benefit profiles.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Company Information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were incorporated in October 2011 as a Delaware corporation under the name Tigercat Pharma, Inc. In September 2020, we changed our name from “Menlo Therapeutics Inc.” to “VYNE Therapeutics Inc.,” following our merger with Foamix Pharmaceuticals Ltd. in March 2020. In July 2026, we changed our name from “VYNE Therapeutics Inc.” to “Yarrow Bioscience, Inc.,” following our merger with Yarrow Bioscience Operating Company Corp. (formerly known as Yarrow Bioscience, Inc.).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July 24, 2026, we effected a 1-for-50 reverse stock split of our common stock (the “Reverse Stock Split”). All references to common stock share and per share amounts in this prospectus are presented on a post-Reverse Stock Split basis.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principal executive offices are located at 470 James Street, Suite 007, New Haven, Connecticut 06513 and our telephone number is (203) 433-7577. Our website address is </w:t>
      </w:r>
      <w:r>
        <w:rPr>
          <w:rFonts w:ascii="Times New Roman;Times;serif" w:hAnsi="Times New Roman;Times;serif"/>
          <w:b w:val="false"/>
          <w:i/>
          <w:caps w:val="false"/>
          <w:smallCaps w:val="false"/>
          <w:color w:val="000000"/>
          <w:spacing w:val="4"/>
          <w:sz w:val="20"/>
          <w:bdr w:val="single" w:sz="8" w:space="1" w:color="000000"/>
        </w:rPr>
        <w:t>www.yarrowbioscience.com</w:t>
      </w:r>
      <w:r>
        <w:rPr>
          <w:rFonts w:ascii="Times New Roman;Times;serif" w:hAnsi="Times New Roman;Times;serif"/>
          <w:b w:val="false"/>
          <w:i w:val="false"/>
          <w:caps w:val="false"/>
          <w:smallCaps w:val="false"/>
          <w:color w:val="000000"/>
          <w:spacing w:val="4"/>
          <w:sz w:val="20"/>
          <w:bdr w:val="single" w:sz="8" w:space="1" w:color="000000"/>
        </w:rPr>
        <w:t xml:space="preserve">. The information contained on, or accessible through, our website is not incorporated by reference into this prospectus. We have included our website in this prospectus solely as an inactive textual reference.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make available on or through our website certain reports and amendments to those reports that we file with, or furnish to, the SEC in accordance with the Securities Exchange Act of 1934, as amended (the “Exchange Act”). These include our Annual Reports on Form 10-K, our Quarterly Reports on Form 10-Q and our Current Reports on Form 8-K, and amendments to those reports filed or furnished pursuant to Section 13(a) or 15(d) of the Exchange Act. We make this information available on or through our website free of charge as soon as reasonably practicable after we electronically file the information with, or furnish it to, the SEC.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Implications of Being a Smaller Reporting Company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 “smaller reporting company,” as defined in Rule 12b-2 of the Exchange Act, meaning that the market value of our shares held by non-affiliates is less than $700 million and our annual revenue was less than $100 million during the most recently completed fiscal year. We may continue to be a smaller reporting company if either (i) the market value of our shares held by non-affiliates is less than $250 million or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(ii) our annual revenue was less than $100 million during the most recently completed fiscal year and the market value of our shares held by non-affiliates is less than $700 million. As a smaller reporting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Additionally, as a smaller reporting company, we may continue to take advantage of the exception from compliance with the auditor attestation requirements of Section 404 of the Sarbanes-Oxley Act of 2002, as amended. If investors consider our common shares less attractive as a result of our election to use the scaled-back disclosure permitted for smaller reporting companies, there may be a less active trading market for our common shares and our share price may be more volatile.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Securities We May Offer</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may offer shares of our common stock and preferred stock, and warrants to purchase any of such securities, up to a total aggregate offering price of $250.0 million from time to time in one or more offerings under this prospectus, together with any applicable prospectus supplement and any related free writing prospectus, at prices and on terms to be determined by market conditions at the time of the relevant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designation or classification; </w:t>
      </w:r>
      <w:r>
        <mc:AlternateContent>
          <mc:Choice Requires="wps">
            <w:drawing>
              <wp:anchor behindDoc="0" distT="7366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1"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aggregate offering price; </w:t>
      </w:r>
      <w:r>
        <mc:AlternateContent>
          <mc:Choice Requires="wps">
            <w:drawing>
              <wp:anchor behindDoc="0" distT="7366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2"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conversion or exchange prices or rates, if any, and, if applicable, any provisions for changes to or adjustments in the conversion or exchange prices or rates and in the securities or other property receivable upon conversion or exchange; </w:t>
      </w:r>
      <w:r>
        <mc:AlternateContent>
          <mc:Choice Requires="wps">
            <w:drawing>
              <wp:anchor behindDoc="0" distT="7366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13"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voting or other rights, if any; and </w:t>
      </w:r>
      <w:r>
        <mc:AlternateContent>
          <mc:Choice Requires="wps">
            <w:drawing>
              <wp:anchor behindDoc="0" distT="7366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14"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material U.S. federal income tax considerations. </w:t>
      </w:r>
      <w:r>
        <mc:AlternateContent>
          <mc:Choice Requires="wps">
            <w:drawing>
              <wp:anchor behindDoc="0" distT="7366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15"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applicable prospectus supplement and any related free writing prospectus that we may authorize to be provided to you may also add, update or change information contained in this prospectus or in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 </w:t>
      </w:r>
    </w:p>
    <w:p>
      <w:pPr>
        <w:pStyle w:val="TextBody"/>
        <w:bidi w:val="0"/>
        <w:spacing w:lineRule="atLeast" w:line="23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This prospectus may not be used to consummate a sale of securities unless it is accompanied by a prospectus supplement.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may sell the securities directly to investors or through underwriters, dealers or agents. We, and our underwriters or agents, reserve the right to accept or reject all or part of any proposed purchase of securities. If we do offer securities through underwriters or agents, we will include in the applicable prospectus supplement: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names of those underwriters or agents; </w:t>
      </w:r>
      <w:r>
        <mc:AlternateContent>
          <mc:Choice Requires="wps">
            <w:drawing>
              <wp:anchor behindDoc="0" distT="7366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16"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applicable fees, discounts and commissions to be paid to them; </w:t>
      </w:r>
      <w:r>
        <mc:AlternateContent>
          <mc:Choice Requires="wps">
            <w:drawing>
              <wp:anchor behindDoc="0" distT="7366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17"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details regarding options to purchase additional shares, if any; and </w:t>
      </w:r>
      <w:r>
        <mc:AlternateContent>
          <mc:Choice Requires="wps">
            <w:drawing>
              <wp:anchor behindDoc="0" distT="7366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18"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estimated net proceeds to us. </w:t>
      </w:r>
      <w:r>
        <mc:AlternateContent>
          <mc:Choice Requires="wps">
            <w:drawing>
              <wp:anchor behindDoc="0" distT="7366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19"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Common Stock</w:t>
      </w:r>
      <w:r>
        <w:rPr>
          <w:rFonts w:ascii="Times New Roman;Times;serif" w:hAnsi="Times New Roman;Times;serif"/>
          <w:b w:val="false"/>
          <w:i w:val="false"/>
          <w:caps w:val="false"/>
          <w:smallCaps w:val="false"/>
          <w:color w:val="000000"/>
          <w:spacing w:val="4"/>
          <w:sz w:val="20"/>
          <w:bdr w:val="single" w:sz="8" w:space="1" w:color="000000"/>
        </w:rPr>
        <w:t xml:space="preserve">.   The holders of our common stock are entitled to one vote for each share held of record on all matters submitted to a vote of stockholders and do not have any cumulative voting rights. Any election at a meeting of stockholders is determined by a plurality of the votes cast by the stockholders entitled to vote at the election, and all other matters are generally determined by a majority of the votes cast on the matter. Holders of our common stock are entitled to receive ratably such dividends, if any, as may be declared by our board of directors out of funds legally available. In the event we liquidate, dissolve or wind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up, after payment of all of our debts and liabilities, and subject to the preferential rights, if any, of any outstanding preferred stock, the holders of our common stock are entitled to share ratably in all assets. Our common stock has no preemptive or conversion rights or other subscription rights, and there are no redemption or sinking fund provisions applicable to our common stock. We have received full payment for all outstanding shares of our common stock and cannot require our stockholders to make further payments on the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Preferred Stock</w:t>
      </w:r>
      <w:r>
        <w:rPr>
          <w:rFonts w:ascii="Times New Roman;Times;serif" w:hAnsi="Times New Roman;Times;serif"/>
          <w:b w:val="false"/>
          <w:i w:val="false"/>
          <w:caps w:val="false"/>
          <w:smallCaps w:val="false"/>
          <w:color w:val="000000"/>
          <w:spacing w:val="4"/>
          <w:sz w:val="20"/>
          <w:bdr w:val="single" w:sz="8" w:space="1" w:color="000000"/>
        </w:rPr>
        <w:t xml:space="preserve">.   We may issue shares of our preferred stock from time to time, in one or more series. Under our certificate of incorporation, our board of directors has the authority, without further action by the stockholders (unless such stockholder action is required by applicable law or the rules of any stock exchange or market on which our securities are then traded), to designate up to 20,000,000 shares of preferred stock in one or more series and to determine the designations, voting powers, preferences and rights of each series of the preferred stock, as well as the qualifications, limitations or restrictions thereof, including dividend rights, conversion rights, preemptive rights, terms of redemption or repurchase, liquidation preferences, sinking fund terms and the number of shares constituting any series or the designation of any series, any or all of which may be greater than the rights of the common stock, and to increase or decrease the number of shares of any such series, but not below the number of shares of such series then outstanding. Any convertible preferred stock we may issue will be convertible into our common stock or exchangeable for our other securities. Conversion may be mandatory or at the holder’s option and would be at prescribed conversion rates.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we sell any series of preferred stock under this prospectus, we will fix the designations, voting powers, preferences and rights of such series of preferred stock,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describes the terms of the series of preferred stock that we are offering before the issuance of the related series of preferred stock. We urge you to read the applicable prospectus supplement (and any free writing prospectus that we may authorize to be provided to you) related to the series of preferred stock being offered, as well as the complete certificate of designation that contains the terms of the applicable series of preferred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Warrants</w:t>
      </w:r>
      <w:r>
        <w:rPr>
          <w:rFonts w:ascii="Times New Roman;Times;serif" w:hAnsi="Times New Roman;Times;serif"/>
          <w:b w:val="false"/>
          <w:i/>
          <w:caps w:val="false"/>
          <w:smallCaps w:val="false"/>
          <w:color w:val="000000"/>
          <w:spacing w:val="4"/>
          <w:sz w:val="20"/>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   We may issue warrants for the purchase of common stock and/or preferred stock. We may issue warrants independently or together with shares of common stock and/or preferred stock, and the warrants may be attached to or separate from these securities. In this prospectus, we have summarized certain general features of the warrants. We urge you, however, to read the applicable prospectus supplement (and any free writing prospectus that we may authorize to be provided to you) related to the particular series of warrants being offered, as well as the complete warrant agreements and warrant certificates that contain the terms of the warrants. Forms of the warrant agreements and forms of warrant certificates containing the terms of the warrants that may be offered will be filed as exhibits to the registration statement of which this prospectus is a part, and supplemental warrant agreements and forms of warrant certificates will be filed as exhibits to the registration statement of which this prospectus is a part or will be incorporated by reference from reports that we file with the SEC before the issuance of such warrants.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Any warrants issued under this prospectus will be evidenced by warrant certificates. Warrants may be issued under an applicable warrant agreement that we enter into with a warrant agent. We will indicate the name and address of the warrant agent, if applicable, in the prospectus supplement relating to the particular series of warrants being offered.</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sRIFA"/>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6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investment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heading “Risk Factors” in the applicable prospectus supplement and any related free writing prospectus, together with all of the other information contained or incorporated by reference in the prospectus supplement or appearing or incorporated by reference in this prospectus. You should also consider the risks, uncertainties and assumptions discussed under Item 1A, “Risk Factors,” in our most recent Annual Report on Form 10-K and any updates described in our Quarterly Reports on Form 10-Q, all of which are incorporated herein by reference, and may be amended, supplemented or superseded from time to time by other reports we file with the SEC in the future and any prospectus supplement related to a particular offering. The risks and uncertainties we have described are not the only ones we face. Additional risks and uncertainties not presently known to us or that we currently deem immaterial may also affect our operations. Past performance may not be a reliable indicator of future performance, and historical trends should not be used to anticipate results or trends in future periods. The occurrence of any of these known or unknown risks could adversely affect our business, operating results and financial condition, as well as adversely affect the value of an investment in our securities, and the occurrence of any of these known or unknown risks might cause you to lose all or part of your investment in the offered securities. Please also read carefully the section below titled “Special Note Regarding Forward-Looking Statements.”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sSNRF"/>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including the information incorporated by reference in this prospectus, contains “forward-looking statements” within the meaning of Section 27A of the Securities Act of 1933, as amended (the “Securities Act”), and Section 21E of the Exchange Act. Forward-looking statements include statements that may relate to our plans, objectives, goals, strategies, future events, future revenues or performance, capital expenditures, financing needs and other information that is not historical information. All statements other than statements of historical facts contained in this prospectus, including the information incorporated by reference in this prospectus, are statements that could be deemed forward-looking statements reflecting the current beliefs and expectations of management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These statements are often identified by the use of words such as “aim,” “anticipate,” “assume,” “believe,” “contemplate,” “continue,” “could,” “due,” “estimate,” “expect,” “goal,” “if,” “intend,” “may,” “objective,” “plan,” “predict,” “potential,” “positioned,” “seek,” “should,” “target,” “until,” “will,” “would,” and similar expressions or variations.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there is a reasonable basis for our expectations and beliefs, but they are inherently uncertain. We may not realize our expectations, and our beliefs may not prove correct. Actual results could differ materially from those described or implied by such forward-looking statements. These forward-looking statements are subject to a number of risks, uncertainties, assumptions and other important factors, including those described in this prospectus and the documents incorporated herein by reference, particularly in the sections of such documents titled “Risk Factors” and “Management’s Discussion and Analysis of Financial Condition and Results of Operations.” The following uncertainties and factors, among others, could affect future performance and cause actual results to differ materially from those matters expressed in or implied by forward-looking statements: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successfully execute on our strategy for the development of YB-101; </w:t>
      </w:r>
      <w:r>
        <mc:AlternateContent>
          <mc:Choice Requires="wps">
            <w:drawing>
              <wp:anchor behindDoc="0" distT="7620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0"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 cost and timing of our planned filing of investigational drug applications or their equivalents, planned product development activities, and initiation of clinical trials of our current product candidates, including YB-101, and any future product candidates; </w:t>
      </w:r>
      <w:r>
        <mc:AlternateContent>
          <mc:Choice Requires="wps">
            <w:drawing>
              <wp:anchor behindDoc="0" distT="7620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1"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retain the continued service of our directors, officers, key employees and consultants; </w:t>
      </w:r>
      <w:r>
        <mc:AlternateContent>
          <mc:Choice Requires="wps">
            <w:drawing>
              <wp:anchor behindDoc="0" distT="7620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2"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continue to grow and manage our growth effectively; </w:t>
      </w:r>
      <w:r>
        <mc:AlternateContent>
          <mc:Choice Requires="wps">
            <w:drawing>
              <wp:anchor behindDoc="0" distT="7620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23"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obtain regulatory approval for our current or future product candidates that we may identify or develop; </w:t>
      </w:r>
      <w:r>
        <mc:AlternateContent>
          <mc:Choice Requires="wps">
            <w:drawing>
              <wp:anchor behindDoc="0" distT="7620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24"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ensure adequate supply of our current or future product candidates; </w:t>
      </w:r>
      <w:r>
        <mc:AlternateContent>
          <mc:Choice Requires="wps">
            <w:drawing>
              <wp:anchor behindDoc="0" distT="7620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25"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maintain third-party relationships necessary to conduct our business; </w:t>
      </w:r>
      <w:r>
        <mc:AlternateContent>
          <mc:Choice Requires="wps">
            <w:drawing>
              <wp:anchor behindDoc="0" distT="7620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26"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establish an adequate safety or efficacy profile for our current or future product candidates that we may pursue; </w:t>
      </w:r>
      <w:r>
        <mc:AlternateContent>
          <mc:Choice Requires="wps">
            <w:drawing>
              <wp:anchor behindDoc="0" distT="7620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27"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implementation and execution of our strategic plans for our business, our current or future product candidates we may develop and our technology; </w:t>
      </w:r>
      <w:r>
        <mc:AlternateContent>
          <mc:Choice Requires="wps">
            <w:drawing>
              <wp:anchor behindDoc="0" distT="7620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28"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intellectual property position, including the scope of protection we are able to establish and maintain for intellectual property rights covering our product candidates and technology; </w:t>
      </w:r>
      <w:r>
        <mc:AlternateContent>
          <mc:Choice Requires="wps">
            <w:drawing>
              <wp:anchor behindDoc="0" distT="7620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29"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rate and degree of market acceptance and clinical utility for our current or future product candidates we may develop; </w:t>
      </w:r>
      <w:r>
        <mc:AlternateContent>
          <mc:Choice Requires="wps">
            <w:drawing>
              <wp:anchor behindDoc="0" distT="7620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0"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estimates about the size of our market opportunity; </w:t>
      </w:r>
      <w:r>
        <mc:AlternateContent>
          <mc:Choice Requires="wps">
            <w:drawing>
              <wp:anchor behindDoc="0" distT="7620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1"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estimates of expenses, future revenues, capital requirements and our needs for additional financing; </w:t>
      </w:r>
      <w:r>
        <mc:AlternateContent>
          <mc:Choice Requires="wps">
            <w:drawing>
              <wp:anchor behindDoc="0" distT="7620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2"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maintain and establish collaborations; </w:t>
      </w:r>
      <w:r>
        <mc:AlternateContent>
          <mc:Choice Requires="wps">
            <w:drawing>
              <wp:anchor behindDoc="0" distT="7620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33"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72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financial performance and liquidity; </w:t>
      </w:r>
      <w:r>
        <mc:AlternateContent>
          <mc:Choice Requires="wps">
            <w:drawing>
              <wp:anchor behindDoc="0" distT="0" distB="0" distL="254000" distR="0" simplePos="0" locked="0" layoutInCell="1" allowOverlap="1" relativeHeight="44">
                <wp:simplePos x="0" y="0"/>
                <wp:positionH relativeFrom="column">
                  <wp:align>left</wp:align>
                </wp:positionH>
                <wp:positionV relativeFrom="line">
                  <wp:posOffset>635</wp:posOffset>
                </wp:positionV>
                <wp:extent cx="127000" cy="350520"/>
                <wp:effectExtent l="0" t="0" r="0" b="0"/>
                <wp:wrapSquare wrapText="right"/>
                <wp:docPr id="34"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developments relating to our competitors and our industry, including the impact of government regulation; </w:t>
      </w:r>
      <w:r>
        <mc:AlternateContent>
          <mc:Choice Requires="wps">
            <w:drawing>
              <wp:anchor behindDoc="0" distT="7620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35"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retain the continued service of our key professionals and consultants and to identify, hire and retain additional qualified professionals; </w:t>
      </w:r>
      <w:r>
        <mc:AlternateContent>
          <mc:Choice Requires="wps">
            <w:drawing>
              <wp:anchor behindDoc="0" distT="7620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36"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maintain adequate internal controls over financial reporting; </w:t>
      </w:r>
      <w:r>
        <mc:AlternateContent>
          <mc:Choice Requires="wps">
            <w:drawing>
              <wp:anchor behindDoc="0" distT="7620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37"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effects of global economic uncertainty and financial market volatility caused by economic effects of volatility in inflation and interest rates, tariffs, geopolitical instability, changes in international trade relationships and conflicts; and </w:t>
      </w:r>
      <w:r>
        <mc:AlternateContent>
          <mc:Choice Requires="wps">
            <w:drawing>
              <wp:anchor behindDoc="0" distT="7620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38"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risks and uncertainties, including those incorporated by reference under the section titled “Risk Factors.” </w:t>
      </w:r>
      <w:r>
        <mc:AlternateContent>
          <mc:Choice Requires="wps">
            <w:drawing>
              <wp:anchor behindDoc="0" distT="7620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39"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Consequently, forward-looking statements speak only as of the date that they are made and should be regarded solely as our current plans, estimates and beliefs. You should not place undue reliance on forward-looking statements. We cannot guarantee future results, events, levels of activity, performance or achievements. Except as required by law, we do not undertake and specifically decline any obligation to update, republish or revise forward-looking statements to reflect future events or circumstances or to reflect the occurrences of unanticipated events.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sUOP"/>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use the net proceeds from the sale of any securities offered under this prospectus for general corporate purposes unless otherwise indicated in the applicable prospectus supplement. General corporate purposes may include funding research and development expenses for our clinical and preclinical pipeline, in-licensing or acquiring other products or technologies, working capital and capital expenditures. We have not determined the amount of net proceeds to be used specifically for such purposes. As a result, management will retain broad discretion over the allocation of net proceeds. We will set forth in the applicable prospectus supplement or free writing prospectus our intended use for the net proceeds received from the sale of any securities sold pursuant to the prospectus supplement or free writing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sSWMO"/>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SECURITIES WE MAY OFFER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contains summary descriptions of the securities we may offer from time to time. These summary descriptions are not meant to be complete descriptions of each security. The particular terms of any securities will be described in the applicable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of our capital stock is intended as a summary only and therefore is not a complete description of our capital stock. This description is based upon, and is qualified by reference to, our Amended and Restated Certificate of Incorporation (the “Certificate of Incorporation”), our Amended and Restated Bylaws (the “Bylaws”), and applicable provisions of Delaware corporate law. You should read our Certificate of Incorporation and our Bylaws, which are filed as exhibits to the registration statement of which this prospectus forms a part, for the provisions that are important to you.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authorized capital stock consists of 300,000,000 shares of common stock, $0.0001 par value per share, and 20,000,000 shares of preferred stock, $0.0001 par value per share. As of August 10, 2026, 2,669,746 shares of common stock were outstanding and no shares of preferred stock were outstanding.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Voting Rights</w:t>
      </w:r>
      <w:r>
        <w:rPr>
          <w:rFonts w:ascii="Times New Roman;Times;serif" w:hAnsi="Times New Roman;Times;serif"/>
          <w:b w:val="false"/>
          <w:i w:val="false"/>
          <w:caps w:val="false"/>
          <w:smallCaps w:val="false"/>
          <w:color w:val="000000"/>
          <w:spacing w:val="4"/>
          <w:sz w:val="20"/>
        </w:rPr>
        <w:t xml:space="preserve">.   Each holder of our common stock is entitled to one vote for each share on all matters submitted to a vote of the stockholders, including the election of directors. Our stockholders do not have cumulative voting rights in the election of directors. Accordingly, holders of a majority of the voting shares are able to elect all of the directors. In addition, the affirmative vote of holders of 66-2/3% of the voting power of all of the then outstanding voting stock will be required to take certain actions, including amending certain provisions of our Certificate of Incorporation, such as the provisions relating to amending our Bylaws, procedures for our stockholder meetings, the classified board, director liability, and exclusive forum for proceedings.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Dividends</w:t>
      </w:r>
      <w:r>
        <w:rPr>
          <w:rFonts w:ascii="Times New Roman;Times;serif" w:hAnsi="Times New Roman;Times;serif"/>
          <w:b w:val="false"/>
          <w:i w:val="false"/>
          <w:caps w:val="false"/>
          <w:smallCaps w:val="false"/>
          <w:color w:val="000000"/>
          <w:spacing w:val="4"/>
          <w:sz w:val="20"/>
        </w:rPr>
        <w:t xml:space="preserve">.   Subject to preferences that may be applicable to any then outstanding preferred stock, holders of our common stock are entitled to receive dividends, if any, as may be declared from time to time by our board of directors out of legally available funds.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Liquidation and Dissolution</w:t>
      </w:r>
      <w:r>
        <w:rPr>
          <w:rFonts w:ascii="Times New Roman;Times;serif" w:hAnsi="Times New Roman;Times;serif"/>
          <w:b w:val="false"/>
          <w:i w:val="false"/>
          <w:caps w:val="false"/>
          <w:smallCaps w:val="false"/>
          <w:color w:val="000000"/>
          <w:spacing w:val="4"/>
          <w:sz w:val="20"/>
        </w:rPr>
        <w:t xml:space="preserve">.   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Other Rights.</w:t>
      </w:r>
      <w:r>
        <w:rPr>
          <w:rFonts w:ascii="Times New Roman;Times;serif" w:hAnsi="Times New Roman;Times;serif"/>
          <w:b w:val="false"/>
          <w:i w:val="false"/>
          <w:caps w:val="false"/>
          <w:smallCaps w:val="false"/>
          <w:color w:val="000000"/>
          <w:spacing w:val="4"/>
          <w:sz w:val="20"/>
        </w:rPr>
        <w:t xml:space="preserve">   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Transfer Agent and Registrar.</w:t>
      </w:r>
      <w:r>
        <w:rPr>
          <w:rFonts w:ascii="Times New Roman;Times;serif" w:hAnsi="Times New Roman;Times;serif"/>
          <w:b w:val="false"/>
          <w:i w:val="false"/>
          <w:caps w:val="false"/>
          <w:smallCaps w:val="false"/>
          <w:color w:val="000000"/>
          <w:spacing w:val="4"/>
          <w:sz w:val="20"/>
        </w:rPr>
        <w:t xml:space="preserve">   Equiniti Trust Company, LLC is the transfer agent and registrar for our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Listing on the Nasdaq Capital Market.</w:t>
      </w:r>
      <w:r>
        <w:rPr>
          <w:rFonts w:ascii="Times New Roman;Times;serif" w:hAnsi="Times New Roman;Times;serif"/>
          <w:b w:val="false"/>
          <w:i w:val="false"/>
          <w:caps w:val="false"/>
          <w:smallCaps w:val="false"/>
          <w:color w:val="000000"/>
          <w:spacing w:val="4"/>
          <w:sz w:val="20"/>
        </w:rPr>
        <w:t xml:space="preserve">   Our common stock is listed on the Nasdaq Capital Market under the symbol “YARW.”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has the authority, without further action by our stockholders, to issue up to 20,000,000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specific terms of any series of preferred stock offered pursuant to this prospectus will be described in the prospectus supplement relating to that series of preferred stock.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Anti-Takeover Effects of Provisions of our Certificate of Incorporation, our Bylaws and Delaware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Some provisions of Delaware law and our Certificate of Incorporation and our Bylaws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Delaware Anti-Takeover Statute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Section 203 of the Delaware General Corporation Law, which prohibits persons deemed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our common stock.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Undesignated Preferred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to authorize undesignated preferred stock makes it possible for our board of directors to issue preferred stock with voting or other rights or preferences that could impede the success of any attempt to change control of us. These and other provisions may have the effect of deterring hostile takeovers or delaying changes in control or management of our company.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Special Stockholder Meetings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Bylaws provide that a special meeting of stockholders may be called by our board of directors, chair of our board of directors, Chief Executive Officer or President (in the absence of a Chief Executive Officer).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Requirements for Advance Notification of Stockholder Nominations and Proposals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Bylaws include advance notice procedures with respect to stockholder proposals and the nomination of candidates for election as directors, other than nominations made by or at the direction of the board of directors or a committee of the board of directors.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Elimination of Stockholder Action by Written Consent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and our Bylaws do not permit stockholders to act by written consent without a meeting.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Classified Board; Election and Removal of Directors; Filling Vacancies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is divided into three classes. The directors in each class will serve for a three-year term, one class being elected each year by our stockholders, with staggered three-year terms. Only one class of directors will be elected at each annual meeting of our stockholders, with the other classes continuing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remainder of their respective three-year terms. Because our stockholders do not have cumulative voting rights, our stockholders holding a majority of the shares of common stock outstanding will be able to elect all of our directors. Our Certificate of Incorporation provides for the removal of any of our directors only for cause and requires a stockholder vote by the holders of at least 66-2/3% of the voting power of the then outstanding voting stock. Furthermore, any vacancy on our board of directors, however occurring, including a vacancy resulting from an increase in the size of the board, may only be filled by a resolution of the board of directors unless the board of directors determines that such vacancies shall be filled by the stockholders. This system of electing and removing directors and filling vacancies may tend to discourage a third party from making a tender offer or otherwise attempting to obtain control of us, because it generally makes it more difficult for stockholders to replace a majority of the directors.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Choice of Forum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provides that, unless we consent in writing to the selection of an alternative forum,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our Certificate of Incorporation or our Bylaws; or any action asserting a claim against us that is governed by the internal affairs doctrine. Although our Certificate of Incorporation contains the choice of forum provision described above, it is possible that a court could find that such a provision is inapplicable for a particular claim or action or that such provision is unenforceable.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Amendment of Charter Provisions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amendment of any of the above provisions, except for the provision making it possible for our board of directors to issue undesignated preferred stock, would require approval by a stockholder vote by the holders of at least 66-2/3% of the voting power of the then outstanding voting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of the Delaware General Corporation Law, our Certificate of Incorporation and our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Limitations of Liability and Indemnification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contains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breach of the director’s duty of loyalty to us or our stockholders; </w:t>
      </w:r>
      <w:r>
        <mc:AlternateContent>
          <mc:Choice Requires="wps">
            <w:drawing>
              <wp:anchor behindDoc="0" distT="7366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0"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act or omission not in good faith or that involves intentional misconduct or a knowing violation of law; </w:t>
      </w:r>
      <w:r>
        <mc:AlternateContent>
          <mc:Choice Requires="wps">
            <w:drawing>
              <wp:anchor behindDoc="0" distT="7366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1"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unlawful payments of dividends or unlawful stock repurchases or redemptions as provided in Section 174 of the Delaware General Corporation Law; or </w:t>
      </w:r>
      <w:r>
        <mc:AlternateContent>
          <mc:Choice Requires="wps">
            <w:drawing>
              <wp:anchor behindDoc="0" distT="7366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2"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transaction from which the director derived an improper personal benefit. </w:t>
      </w:r>
      <w:r>
        <mc:AlternateContent>
          <mc:Choice Requires="wps">
            <w:drawing>
              <wp:anchor behindDoc="0" distT="7366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43"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our Certificate of Incorporation and Bylaws provides that we are required to indemnify our directors and officers, in each case, to the fullest extent permitted by Delaware law. Our Bylaws will also obligate us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Delaware law. We have entered and expect to continue to enter into agreements to indemnify our directors, executive officers and other employees as determined by our board of directors. With specified exceptions, these agreements provide for indemnification for related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4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expenses including, among other things, attorneys’ fees, judgments, fines and settlement amounts incurred by any of these individuals in any action or proceeding. We believe that these Bylaws provisions and indemnification agreements are necessary to attract and retain qualified persons as directors and officers. We also maintain directors’ and officers’ liability insurance. The limitation of liability and indemnification provisions in our Certificate of Incorporation and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our stockholders. Further, a stockholder’s investment may be adversely affected to the extent that we pay the costs of settlement and damage.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warrants for the purchase of shares of our common stock or preferred stock.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is subject to, and qualified in its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particular terms of any issue of warrants will be described in the prospectus supplement relating to the issue. Those terms may include: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of common stock or preferred stock purchasable upon the exercise of warrants to purchase such shares and the price at which such number of shares may be purchased upon such exercise; </w:t>
      </w:r>
      <w:r>
        <mc:AlternateContent>
          <mc:Choice Requires="wps">
            <w:drawing>
              <wp:anchor behindDoc="0" distT="7620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44"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stated value and terms (including, without limitation, liquidation, dividend, conversion and voting rights) of the series of preferred stock purchasable upon exercise of warrants to purchase preferred stock; </w:t>
      </w:r>
      <w:r>
        <mc:AlternateContent>
          <mc:Choice Requires="wps">
            <w:drawing>
              <wp:anchor behindDoc="0" distT="7620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45"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if any, on and after which the warrants and the related preferred stock or common stock will be separately transferable; </w:t>
      </w:r>
      <w:r>
        <mc:AlternateContent>
          <mc:Choice Requires="wps">
            <w:drawing>
              <wp:anchor behindDoc="0" distT="7620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46"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any rights to redeem or call the warrants; </w:t>
      </w:r>
      <w:r>
        <mc:AlternateContent>
          <mc:Choice Requires="wps">
            <w:drawing>
              <wp:anchor behindDoc="0" distT="7620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47"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on which the right to exercise the warrants will commence and the date on which the right will expire; </w:t>
      </w:r>
      <w:r>
        <mc:AlternateContent>
          <mc:Choice Requires="wps">
            <w:drawing>
              <wp:anchor behindDoc="0" distT="7620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48"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federal income tax consequences applicable to the warrants; and </w:t>
      </w:r>
      <w:r>
        <mc:AlternateContent>
          <mc:Choice Requires="wps">
            <w:drawing>
              <wp:anchor behindDoc="0" distT="7620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49"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additional terms of the warrants, including terms, procedures, and limitations relating to the exchange, exercise and settlement of the warrants. </w:t>
      </w:r>
      <w:r>
        <mc:AlternateContent>
          <mc:Choice Requires="wps">
            <w:drawing>
              <wp:anchor behindDoc="0" distT="7620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0"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equity warrants will not be entitled to: </w:t>
      </w:r>
      <w:r>
        <mc:AlternateContent>
          <mc:Choice Requires="wps">
            <w:drawing>
              <wp:anchor behindDoc="0" distT="7620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1"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vote, consent or receive dividends; </w:t>
      </w:r>
      <w:r>
        <mc:AlternateContent>
          <mc:Choice Requires="wps">
            <w:drawing>
              <wp:anchor behindDoc="0" distT="7620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52"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receive notice as stockholders with respect to any meeting of stockholders for the election of our directors or any other matter; or </w:t>
      </w:r>
      <w:r>
        <mc:AlternateContent>
          <mc:Choice Requires="wps">
            <w:drawing>
              <wp:anchor behindDoc="0" distT="7620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53"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exercise any rights as stockholders of Yarrow Bioscience, Inc. </w:t>
      </w:r>
      <w:r>
        <mc:AlternateContent>
          <mc:Choice Requires="wps">
            <w:drawing>
              <wp:anchor behindDoc="0" distT="7620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54"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warrant will entitle its holder to purchase the number of shares of preferred stock or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holder of warrant certificates may exchange them for new warrant certificates of different denominations, present them for registration of transfer and exercise them at the corporate trust office of the warrant agent or any other office indicated in the applicable prospectus supplement. Until any warrants to purchase common stock or preferred stock are exercised, the holders of the warrants will not have any rights of holders of the underlying common stock or preferred stock, including any rights to receive dividends or payments upon any liquidation, dissolution or winding up on the common stock or preferred stock, if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sPOD"/>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securities, from time to time: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one or more underwriters, dealers or agents; </w:t>
      </w:r>
      <w:r>
        <mc:AlternateContent>
          <mc:Choice Requires="wps">
            <w:drawing>
              <wp:anchor behindDoc="0" distT="7747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55"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directly to one or more purchasers; or </w:t>
      </w:r>
      <w:r>
        <mc:AlternateContent>
          <mc:Choice Requires="wps">
            <w:drawing>
              <wp:anchor behindDoc="0" distT="7747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56"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 combination of any of these methods of sale or any other method permitted by law. </w:t>
      </w:r>
      <w:r>
        <mc:AlternateContent>
          <mc:Choice Requires="wps">
            <w:drawing>
              <wp:anchor behindDoc="0" distT="7747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57"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may issue the securities as a dividend or distribution or in a subscription rights offering to our existing security holders. This prospectus may be used in connection with any offering of our securities through any of these methods or other methods described in the applicable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manner in which we may sell some or all of the securities covered by this prospectus includes any method permitted by law, including, without limitation, through: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block trade in which a broker-dealer will attempt to sell as agent, but may position or resell a portion of the block, as principal, in order to facilitate the transaction; </w:t>
      </w:r>
      <w:r>
        <mc:AlternateContent>
          <mc:Choice Requires="wps">
            <w:drawing>
              <wp:anchor behindDoc="0" distT="7747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58"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purchases by a broker-dealer, as principal, and resale by the broker-dealer for its account; </w:t>
      </w:r>
      <w:r>
        <mc:AlternateContent>
          <mc:Choice Requires="wps">
            <w:drawing>
              <wp:anchor behindDoc="0" distT="7747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59"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ordinary brokerage transactions and transactions in which a broker solicits purchasers; </w:t>
      </w:r>
      <w:r>
        <mc:AlternateContent>
          <mc:Choice Requires="wps">
            <w:drawing>
              <wp:anchor behindDoc="0" distT="7747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0"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in an “at the market offering” within the meaning of Rule 415(a)(4) under the Securities Act, to or through one or more market makers or into an existing trading market, on an exchange or otherwise; or </w:t>
      </w:r>
      <w:r>
        <mc:AlternateContent>
          <mc:Choice Requires="wps">
            <w:drawing>
              <wp:anchor behindDoc="0" distT="7747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1"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privately negotiated transactions. </w:t>
      </w:r>
      <w:r>
        <mc:AlternateContent>
          <mc:Choice Requires="wps">
            <w:drawing>
              <wp:anchor behindDoc="0" distT="7747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62"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distribution of the securities may be effected from time to time in one or more transactions: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fixed price, or prices, which may be changed from time to time; </w:t>
      </w:r>
      <w:r>
        <mc:AlternateContent>
          <mc:Choice Requires="wps">
            <w:drawing>
              <wp:anchor behindDoc="0" distT="7747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63"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market prices prevailing at the time of sale; </w:t>
      </w:r>
      <w:r>
        <mc:AlternateContent>
          <mc:Choice Requires="wps">
            <w:drawing>
              <wp:anchor behindDoc="0" distT="7747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64"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prices related to such prevailing market prices; or </w:t>
      </w:r>
      <w:r>
        <mc:AlternateContent>
          <mc:Choice Requires="wps">
            <w:drawing>
              <wp:anchor behindDoc="0" distT="7747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65"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negotiated prices. </w:t>
      </w:r>
      <w:r>
        <mc:AlternateContent>
          <mc:Choice Requires="wps">
            <w:drawing>
              <wp:anchor behindDoc="0" distT="7747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66"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prospectus supplement will describe the method of distribution of the securities and any applicable restrictions.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prospectus supplement or supplements (and any related free writing prospectuses that we may authorize to be provided to you) with respect to the securities of a particular series will describe the terms of the offering of the securities, including the following: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 of the agent or any underwriters; </w:t>
      </w:r>
      <w:r>
        <mc:AlternateContent>
          <mc:Choice Requires="wps">
            <w:drawing>
              <wp:anchor behindDoc="0" distT="7620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67"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public offering or purchase price and the proceeds we will receive from the sale of the securities; </w:t>
      </w:r>
      <w:r>
        <mc:AlternateContent>
          <mc:Choice Requires="wps">
            <w:drawing>
              <wp:anchor behindDoc="0" distT="7620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68"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discounts, commissions, or agency fees and other items to be allowed constituting underwriting compensation; </w:t>
      </w:r>
      <w:r>
        <mc:AlternateContent>
          <mc:Choice Requires="wps">
            <w:drawing>
              <wp:anchor behindDoc="0" distT="7620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69"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options under which underwriters may purchase additional securities from us; </w:t>
      </w:r>
      <w:r>
        <mc:AlternateContent>
          <mc:Choice Requires="wps">
            <w:drawing>
              <wp:anchor behindDoc="0" distT="7620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0"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discounts and commissions to be allowed or re-allowed or paid to dealers; </w:t>
      </w:r>
      <w:r>
        <mc:AlternateContent>
          <mc:Choice Requires="wps">
            <w:drawing>
              <wp:anchor behindDoc="0" distT="7620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1"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exchanges on which the securities will be listed; and </w:t>
      </w:r>
      <w:r>
        <mc:AlternateContent>
          <mc:Choice Requires="wps">
            <w:drawing>
              <wp:anchor behindDoc="0" distT="7620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72"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material terms of the offering. </w:t>
      </w:r>
      <w:r>
        <mc:AlternateContent>
          <mc:Choice Requires="wps">
            <w:drawing>
              <wp:anchor behindDoc="0" distT="7620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73"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dealer is utilized in the sale of the securities in respect of which this prospectus is delivered, we will sell such securities to the dealer, as principal. The dealer may then resell such securities to the public at varying prices to be determined by such dealer at the time of resale.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Remarketing firms, 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purchase by an institution of the securities covered under that contract shall not at the time of delivery be prohibited under the laws of the jurisdiction to which that institution is subject; and </w:t>
      </w:r>
      <w:r>
        <mc:AlternateContent>
          <mc:Choice Requires="wps">
            <w:drawing>
              <wp:anchor behindDoc="0" distT="7493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74"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 </w:t>
      </w:r>
      <w:r>
        <mc:AlternateContent>
          <mc:Choice Requires="wps">
            <w:drawing>
              <wp:anchor behindDoc="0" distT="7493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75"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0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any date prior to the second business day before the original issue date for your securities, you will be required, by virtue of the fact that your securities initially are expected to settle more than two scheduled business days after the trade date for your securities, to make alternative settlement arrangements to prevent a failed settlement.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may be new issues of securities and may have no established trading market. The securities may or may not be listed on a national securities exchange. We can make no assurance as to the liquidity of or the existence of trading markets for any of the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compliance with the guidelines of the Financial Industry Regulatory Authority (“FINRA”), the aggregate maximum discount, commission or agency fees or other items constituting underwriting compensation to be received by any FINRA member or independent broker-dealer will not exceed 8% of the proceeds from any offering pursuant to this prospectus and any applicable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underwriters or agents who are qualified market makers on the Nasdaq Capital Market may engage in passive market making transactions in the securities on the Nasdaq Capital Market in accordance with Rule 103 of Regulation M under the Exchange Act,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sLEMA"/>
      <w:bookmarkEnd w:id="10"/>
      <w:r>
        <w:rPr>
          <w:rFonts w:ascii="calibri;arial;sans-serif" w:hAnsi="calibri;arial;sans-serif"/>
          <w:b w:val="false"/>
          <w:i w:val="false"/>
          <w:caps w:val="false"/>
          <w:smallCaps w:val="false"/>
          <w:color w:val="000000"/>
          <w:sz w:val="16"/>
        </w:rPr>
        <w:t>​</w:t>
      </w:r>
      <w:bookmarkStart w:id="11" w:name="sEXP"/>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7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legal matters, including the legality of the securities offered, will be passed upon for us by Gibson, Dunn &amp; Crutcher LLP, San Francisco, California. Additional legal matters may be passed upon for us or any underwriters, dealers or agents, by counsel that we will name in the applicable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financial statements of VYNE Therapeutics Inc. as of December 31, 2025 and 2024, and for each of the years in the two-year period ended December 31, 2025, incorporated by reference in this prospectus, have been audited by Baker Tilly US, LLP, an independent registered public accounting firm, as set forth in the report thereon, and are incorporated by reference in reliance upon such report given on the authority of such firm as experts in accounting and auditing.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financial statements of Yarrow Bioscience, Inc. (changed to Yarrow Bioscience Operating Company Corp. at time of merger) as of December 31, 2025 and for the period from October 3, 2025 (inception) to December 31, 2025, incorporated by reference in this prospectus, have been audited by Baker Tilly US, LLP, an independent registered public accounting firm, as set forth in the report thereon, and are incorporated by reference in reliance upon such report given on the authority of such firm as experts in accounting and auditing.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sWYCF"/>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1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file annual, quarterly and current reports, proxy statements and other information with the SEC. Our SEC filings are available to the public over the Internet at the SEC’s website at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Our common stock is listed on the Nasdaq Capital Market under the symbol “YARW.” Copies of certain information filed by us with the SEC are also available free of charge on our website at </w:t>
      </w:r>
      <w:r>
        <w:rPr>
          <w:rFonts w:ascii="Times New Roman;Times;serif" w:hAnsi="Times New Roman;Times;serif"/>
          <w:b w:val="false"/>
          <w:i/>
          <w:caps w:val="false"/>
          <w:smallCaps w:val="false"/>
          <w:color w:val="000000"/>
          <w:spacing w:val="4"/>
          <w:sz w:val="20"/>
        </w:rPr>
        <w:t>www.yarrowbioscience.com</w:t>
      </w:r>
      <w:r>
        <w:rPr>
          <w:rFonts w:ascii="Times New Roman;Times;serif" w:hAnsi="Times New Roman;Times;serif"/>
          <w:b w:val="false"/>
          <w:i w:val="false"/>
          <w:caps w:val="false"/>
          <w:smallCaps w:val="false"/>
          <w:color w:val="000000"/>
          <w:spacing w:val="4"/>
          <w:sz w:val="20"/>
        </w:rPr>
        <w:t xml:space="preserve">. Our website is not a part of this prospectus and is not incorporated by reference in this prospectus. These filings will be available as soon as reasonably practicable after we electronically file such material with, or furnish it to, the SEC.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about us and our consolidated subsidiary and the securities we are offering. Those exhibits may be filed with the registration statement or may be incorporated by reference to earlier SEC filings listed in the registration statement or in subsequent filings that we may make under the Exchange Act.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sIBR"/>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0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the information we file with them, which means that we can disclose important information to you by referring you to these documents instead of having to repeat the information in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Our periodic reports are filed with the SEC under SEC File Number 001-38356.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hereby incorporate by reference the following documents: </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Annual Report on Form 10-K for the fiscal year ended December 31, 2025, filed with the SEC on </w:t>
      </w:r>
      <w:hyperlink r:id="rId3">
        <w:r>
          <w:rPr>
            <w:rStyle w:val="InternetLink"/>
          </w:rPr>
          <w:t>February 27,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76"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Quarterly Reports on Form 10-Q for the quarters ended March 31, 2026 and June 30, 2026, filed with the SEC on </w:t>
      </w:r>
      <w:hyperlink r:id="rId4">
        <w:r>
          <w:rPr>
            <w:rStyle w:val="InternetLink"/>
          </w:rPr>
          <w:t>May 15, 2026</w:t>
        </w:r>
      </w:hyperlink>
      <w:r>
        <w:rPr>
          <w:rFonts w:ascii="Times New Roman;Times;serif" w:hAnsi="Times New Roman;Times;serif"/>
          <w:b w:val="false"/>
          <w:i w:val="false"/>
          <w:caps w:val="false"/>
          <w:smallCaps w:val="false"/>
          <w:color w:val="000000"/>
          <w:spacing w:val="4"/>
          <w:sz w:val="20"/>
        </w:rPr>
        <w:t xml:space="preserve"> and </w:t>
      </w:r>
      <w:hyperlink r:id="rId5">
        <w:r>
          <w:rPr>
            <w:rStyle w:val="InternetLink"/>
          </w:rPr>
          <w:t>August 13, 2026</w:t>
        </w:r>
      </w:hyperlink>
      <w:r>
        <w:rPr>
          <w:rFonts w:ascii="Times New Roman;Times;serif" w:hAnsi="Times New Roman;Times;serif"/>
          <w:b w:val="false"/>
          <w:i w:val="false"/>
          <w:caps w:val="false"/>
          <w:smallCaps w:val="false"/>
          <w:color w:val="000000"/>
          <w:spacing w:val="4"/>
          <w:sz w:val="20"/>
        </w:rPr>
        <w:t xml:space="preserve">, respectively; </w:t>
      </w:r>
      <w:r>
        <mc:AlternateContent>
          <mc:Choice Requires="wps">
            <w:drawing>
              <wp:anchor behindDoc="0" distT="7620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77"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Reports on Form 8-K filed with the SEC on </w:t>
      </w:r>
      <w:hyperlink r:id="rId6">
        <w:r>
          <w:rPr>
            <w:rStyle w:val="InternetLink"/>
          </w:rPr>
          <w:t>January 30, 2026</w:t>
        </w:r>
      </w:hyperlink>
      <w:r>
        <w:rPr>
          <w:rFonts w:ascii="Times New Roman;Times;serif" w:hAnsi="Times New Roman;Times;serif"/>
          <w:b w:val="false"/>
          <w:i w:val="false"/>
          <w:caps w:val="false"/>
          <w:smallCaps w:val="false"/>
          <w:color w:val="000000"/>
          <w:spacing w:val="4"/>
          <w:sz w:val="20"/>
        </w:rPr>
        <w:t xml:space="preserve">, </w:t>
      </w:r>
      <w:hyperlink r:id="rId7">
        <w:r>
          <w:rPr>
            <w:rStyle w:val="InternetLink"/>
          </w:rPr>
          <w:t>March 11, 2026</w:t>
        </w:r>
      </w:hyperlink>
      <w:r>
        <w:rPr>
          <w:rFonts w:ascii="Times New Roman;Times;serif" w:hAnsi="Times New Roman;Times;serif"/>
          <w:b w:val="false"/>
          <w:i w:val="false"/>
          <w:caps w:val="false"/>
          <w:smallCaps w:val="false"/>
          <w:color w:val="000000"/>
          <w:spacing w:val="4"/>
          <w:sz w:val="20"/>
        </w:rPr>
        <w:t xml:space="preserve">, </w:t>
      </w:r>
      <w:hyperlink r:id="rId8">
        <w:r>
          <w:rPr>
            <w:rStyle w:val="InternetLink"/>
          </w:rPr>
          <w:t>July 10, 2026</w:t>
        </w:r>
      </w:hyperlink>
      <w:r>
        <w:rPr>
          <w:rFonts w:ascii="Times New Roman;Times;serif" w:hAnsi="Times New Roman;Times;serif"/>
          <w:b w:val="false"/>
          <w:i w:val="false"/>
          <w:caps w:val="false"/>
          <w:smallCaps w:val="false"/>
          <w:color w:val="000000"/>
          <w:spacing w:val="4"/>
          <w:sz w:val="20"/>
        </w:rPr>
        <w:t xml:space="preserve"> (except for the information furnished under Item 7.01 therein and Exhibit 99.1 thereto), </w:t>
      </w:r>
      <w:hyperlink r:id="rId9">
        <w:r>
          <w:rPr>
            <w:rStyle w:val="InternetLink"/>
          </w:rPr>
          <w:t>July 20, 2026</w:t>
        </w:r>
      </w:hyperlink>
      <w:r>
        <w:rPr>
          <w:rFonts w:ascii="Times New Roman;Times;serif" w:hAnsi="Times New Roman;Times;serif"/>
          <w:b w:val="false"/>
          <w:i w:val="false"/>
          <w:caps w:val="false"/>
          <w:smallCaps w:val="false"/>
          <w:color w:val="000000"/>
          <w:spacing w:val="4"/>
          <w:sz w:val="20"/>
        </w:rPr>
        <w:t xml:space="preserve">, </w:t>
      </w:r>
      <w:hyperlink r:id="rId10">
        <w:r>
          <w:rPr>
            <w:rStyle w:val="InternetLink"/>
          </w:rPr>
          <w:t>July 21, 2026</w:t>
        </w:r>
      </w:hyperlink>
      <w:r>
        <w:rPr>
          <w:rFonts w:ascii="Times New Roman;Times;serif" w:hAnsi="Times New Roman;Times;serif"/>
          <w:b w:val="false"/>
          <w:i w:val="false"/>
          <w:caps w:val="false"/>
          <w:smallCaps w:val="false"/>
          <w:color w:val="000000"/>
          <w:spacing w:val="4"/>
          <w:sz w:val="20"/>
        </w:rPr>
        <w:t xml:space="preserve"> (except for the information furnished under Item 7.01 therein and Exhibit 99.1 thereto), </w:t>
      </w:r>
      <w:hyperlink r:id="rId11">
        <w:r>
          <w:rPr>
            <w:rStyle w:val="InternetLink"/>
          </w:rPr>
          <w:t>July 28, 2026</w:t>
        </w:r>
      </w:hyperlink>
      <w:r>
        <w:rPr>
          <w:rFonts w:ascii="Times New Roman;Times;serif" w:hAnsi="Times New Roman;Times;serif"/>
          <w:b w:val="false"/>
          <w:i w:val="false"/>
          <w:caps w:val="false"/>
          <w:smallCaps w:val="false"/>
          <w:color w:val="000000"/>
          <w:spacing w:val="4"/>
          <w:sz w:val="20"/>
        </w:rPr>
        <w:t xml:space="preserve"> (except for the information furnished under Items 2.02 and 7.01 therein), </w:t>
      </w:r>
      <w:hyperlink r:id="rId12">
        <w:r>
          <w:rPr>
            <w:rStyle w:val="InternetLink"/>
          </w:rPr>
          <w:t>July 30, 2026</w:t>
        </w:r>
      </w:hyperlink>
      <w:r>
        <w:rPr>
          <w:rFonts w:ascii="Times New Roman;Times;serif" w:hAnsi="Times New Roman;Times;serif"/>
          <w:b w:val="false"/>
          <w:i w:val="false"/>
          <w:caps w:val="false"/>
          <w:smallCaps w:val="false"/>
          <w:color w:val="000000"/>
          <w:spacing w:val="4"/>
          <w:sz w:val="20"/>
        </w:rPr>
        <w:t xml:space="preserve"> and </w:t>
      </w:r>
      <w:hyperlink r:id="rId13">
        <w:r>
          <w:rPr>
            <w:rStyle w:val="InternetLink"/>
          </w:rPr>
          <w:t>August 13, 2026</w:t>
        </w:r>
      </w:hyperlink>
      <w:r>
        <w:rPr>
          <w:rFonts w:ascii="Times New Roman;Times;serif" w:hAnsi="Times New Roman;Times;serif"/>
          <w:b w:val="false"/>
          <w:i w:val="false"/>
          <w:caps w:val="false"/>
          <w:smallCaps w:val="false"/>
          <w:color w:val="000000"/>
          <w:spacing w:val="4"/>
          <w:sz w:val="20"/>
        </w:rPr>
        <w:t xml:space="preserve"> (except for the information furnished under Items 2.02 and 7.01 therein); and </w:t>
      </w:r>
      <w:r>
        <mc:AlternateContent>
          <mc:Choice Requires="wps">
            <w:drawing>
              <wp:anchor behindDoc="0" distT="7620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78"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our common stock contained in </w:t>
      </w:r>
      <w:hyperlink r:id="rId14">
        <w:r>
          <w:rPr>
            <w:rStyle w:val="InternetLink"/>
          </w:rPr>
          <w:t>Exhibit 4.1</w:t>
        </w:r>
      </w:hyperlink>
      <w:r>
        <w:rPr>
          <w:rFonts w:ascii="Times New Roman;Times;serif" w:hAnsi="Times New Roman;Times;serif"/>
          <w:b w:val="false"/>
          <w:i w:val="false"/>
          <w:caps w:val="false"/>
          <w:smallCaps w:val="false"/>
          <w:color w:val="000000"/>
          <w:spacing w:val="4"/>
          <w:sz w:val="20"/>
        </w:rPr>
        <w:t xml:space="preserve"> to our Annual Report on Form 10-K filed with the SEC on March 14, 2023, including any amendments or reports filed for the purpose of updating such description. </w:t>
      </w:r>
      <w:r>
        <mc:AlternateContent>
          <mc:Choice Requires="wps">
            <w:drawing>
              <wp:anchor behindDoc="0" distT="7620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79"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all documents we subsequently file with the SEC pursuant to Sections 13(a), 13(c), 14 and 15(d) of the Exchange Act, until the offering of the securities offered hereby is terminated or completed, shall be deemed to be incorporated by reference in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specifically stated to the contrary, none of the information that we disclose under Items 2.02 or 7.01 of any Current Report on Form 8-K that we may from time to time furnish to the SEC will be incorporated by reference into, or otherwise included in,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furnish to you, regardless of whether you are a beneficial owner, at no cost, upon written or oral request, a copy of all of the documents that have been incorporated by reference in this prospectus and any applicable prospectus supplement, other than the exhibits to such documents unless the exhibits are specifically incorporated by reference but not delivered with this prospectus. Requests should be directed to: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Yarrow Bioscience,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Attn: Corporate Secretary</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470 James Street, Suite 007</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New Haven, CT 06513</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(203) 433-7577</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6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1010" w:after="283"/>
        <w:jc w:val="center"/>
        <w:rPr>
          <w:caps w:val="false"/>
          <w:smallCaps w:val="false"/>
          <w:color w:val="000000"/>
        </w:rPr>
      </w:pPr>
      <w:r>
        <w:rPr>
          <w:caps w:val="false"/>
          <w:smallCaps w:val="false"/>
          <w:color w:val="000000"/>
        </w:rPr>
        <w:drawing>
          <wp:inline distT="0" distB="0" distL="0" distR="0">
            <wp:extent cx="2705100" cy="923925"/>
            <wp:effectExtent l="0" t="0" r="0" b="0"/>
            <wp:docPr id="8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2" descr=""/>
                    <pic:cNvPicPr>
                      <a:picLocks noChangeAspect="1" noChangeArrowheads="1"/>
                    </pic:cNvPicPr>
                  </pic:nvPicPr>
                  <pic:blipFill>
                    <a:blip r:embed="rId15"/>
                    <a:stretch>
                      <a:fillRect/>
                    </a:stretch>
                  </pic:blipFill>
                  <pic:spPr bwMode="auto">
                    <a:xfrm>
                      <a:off x="0" y="0"/>
                      <a:ext cx="2705100" cy="923925"/>
                    </a:xfrm>
                    <a:prstGeom prst="rect">
                      <a:avLst/>
                    </a:prstGeom>
                  </pic:spPr>
                </pic:pic>
              </a:graphicData>
            </a:graphic>
          </wp:inline>
        </w:drawing>
      </w:r>
      <w:r>
        <w:rPr>
          <w:caps w:val="false"/>
          <w:smallCaps w:val="false"/>
          <w:color w:val="000000"/>
        </w:rPr>
        <w:t xml:space="preserve"> </w:t>
      </w:r>
    </w:p>
    <w:p>
      <w:pPr>
        <w:pStyle w:val="TextBody"/>
        <w:bidi w:val="0"/>
        <w:spacing w:lineRule="atLeast" w:line="400" w:before="154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Yarrow Bioscience, Inc.</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20" w:before="14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$250,000,000</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320" w:before="120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Common Stock</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Preferred Stock</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Warrants</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80" w:before="144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PROSPECTUS</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240" w:before="2160" w:after="283"/>
        <w:jc w:val="center"/>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 2026</w:t>
      </w:r>
      <w:r>
        <w:rPr>
          <w:rFonts w:ascii="Times New Roman;Times;serif" w:hAnsi="Times New Roman;Times;serif"/>
          <w:b/>
          <w:i w:val="false"/>
          <w:caps w:val="false"/>
          <w:smallCaps w:val="false"/>
          <w:color w:val="000000"/>
          <w:spacing w:val="4"/>
          <w:sz w:val="20"/>
        </w:rPr>
        <w:t xml:space="preserve"> </w:t>
      </w:r>
    </w:p>
    <w:p>
      <w:pPr>
        <w:pStyle w:val="TextBody"/>
        <w:bidi w:val="0"/>
        <w:spacing w:before="125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6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753" w:right="0" w:hanging="0"/>
        <w:jc w:val="center"/>
        <w:rPr>
          <w:rFonts w:ascii="Times New Roman;Times;serif" w:hAnsi="Times New Roman;Times;serif"/>
          <w:b/>
          <w:i w:val="false"/>
          <w:caps w:val="false"/>
          <w:smallCaps w:val="false"/>
          <w:color w:val="FC0014"/>
          <w:sz w:val="20"/>
        </w:rPr>
      </w:pPr>
      <w:r>
        <w:rPr>
          <w:rFonts w:ascii="Times New Roman;Times;serif" w:hAnsi="Times New Roman;Times;serif"/>
          <w:b/>
          <w:i w:val="false"/>
          <w:caps w:val="false"/>
          <w:smallCaps w:val="false"/>
          <w:color w:val="FC0014"/>
          <w:spacing w:val="-4"/>
          <w:sz w:val="20"/>
        </w:rPr>
        <w:t>Subject to completion, dated August 13,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Up to $50,000,000</w:t>
      </w:r>
      <w:r>
        <w:rPr>
          <w:rFonts w:ascii="Times New Roman;Times;serif" w:hAnsi="Times New Roman;Times;serif"/>
          <w:b/>
          <w:i w:val="false"/>
          <w:caps w:val="false"/>
          <w:smallCaps w:val="false"/>
          <w:color w:val="000000"/>
          <w:spacing w:val="6"/>
          <w:sz w:val="28"/>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3009900" cy="1028700"/>
            <wp:effectExtent l="0" t="0" r="0" b="0"/>
            <wp:docPr id="8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3" descr=""/>
                    <pic:cNvPicPr>
                      <a:picLocks noChangeAspect="1" noChangeArrowheads="1"/>
                    </pic:cNvPicPr>
                  </pic:nvPicPr>
                  <pic:blipFill>
                    <a:blip r:embed="rId16"/>
                    <a:stretch>
                      <a:fillRect/>
                    </a:stretch>
                  </pic:blipFill>
                  <pic:spPr bwMode="auto">
                    <a:xfrm>
                      <a:off x="0" y="0"/>
                      <a:ext cx="3009900" cy="1028700"/>
                    </a:xfrm>
                    <a:prstGeom prst="rect">
                      <a:avLst/>
                    </a:prstGeom>
                  </pic:spPr>
                </pic:pic>
              </a:graphicData>
            </a:graphic>
          </wp:inline>
        </w:drawing>
      </w:r>
      <w:r>
        <w:rPr>
          <w:caps w:val="false"/>
          <w:smallCaps w:val="false"/>
          <w:color w:val="000000"/>
        </w:rPr>
        <w:t xml:space="preserve"> </w:t>
      </w:r>
    </w:p>
    <w:p>
      <w:pPr>
        <w:pStyle w:val="TextBody"/>
        <w:bidi w:val="0"/>
        <w:spacing w:lineRule="atLeast" w:line="400" w:before="34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Yarrow Bioscience, Inc.</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Common Stock</w:t>
      </w:r>
      <w:r>
        <w:rPr>
          <w:rFonts w:ascii="Times New Roman;Times;serif" w:hAnsi="Times New Roman;Times;serif"/>
          <w:b/>
          <w:i w:val="false"/>
          <w:caps w:val="false"/>
          <w:smallCaps w:val="false"/>
          <w:color w:val="000000"/>
          <w:spacing w:val="6"/>
          <w:sz w:val="28"/>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entered into an Amended and Restated Sales Agreement (the “A&amp;R Sales Agreement”) with TD Securities (USA) LLC (“TD Cowen”), relating to shares of our common stock offered by this prospectus and the accompanying prospectus. In accordance with the terms of the A&amp;R Sales Agreement, we may offer and sell shares of our common stock having an aggregate offering price of up to $50.0 million from time to time through or to TD Cowen acting as our agent or principal. </w:t>
      </w:r>
    </w:p>
    <w:p>
      <w:pPr>
        <w:pStyle w:val="TextBody"/>
        <w:bidi w:val="0"/>
        <w:spacing w:lineRule="atLeast" w:line="24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Nasdaq Capital Market under the symbol “YARW.” On August 12, 2026, the last reported sale price of our common stock was $42.77 per share. </w:t>
      </w:r>
    </w:p>
    <w:p>
      <w:pPr>
        <w:pStyle w:val="TextBody"/>
        <w:bidi w:val="0"/>
        <w:spacing w:lineRule="atLeast" w:line="24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of our common stock, if any, under this prospectus and the accompanying base prospectus will be made in negotiated transactions, including block trades or block sales, or by any method permitted by law deemed to be an “at the market offering” as defined in Rule 415 promulgated under the Securities Act of 1933, as amended (the “Securities Act”), including, without limitation, sales made through the Nasdaq Capital Market or on any other trading market for our common stock, or by any other method permitted by law. TD Cowen is not required to sell any specific amount of securities, but will act as our sales agent using commercially reasonable efforts consistent with its normal trading and sales practices, on mutually agreed terms between TD Cowen and us. There is no arrangement for funds to be received in any escrow, trust or similar arrangement. </w:t>
      </w:r>
    </w:p>
    <w:p>
      <w:pPr>
        <w:pStyle w:val="TextBody"/>
        <w:bidi w:val="0"/>
        <w:spacing w:lineRule="atLeast" w:line="24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to TD Cowen for sales of common stock sold pursuant to the A&amp;R Sales Agreement will be an amount up to 3.0% of the gross proceeds of any shares of common stock sold under the A&amp;R Sales Agreement. In connection with the sale of the common stock on our behalf, TD Cowen may be deemed to be an “underwriter” within the meaning of the Securities Act and the compensation of TD Cowen may be deemed to be underwriting commissions or discounts. We have also agreed to provide indemnification and contribution to TD Cowen with respect to certain liabilities, including liabilities under the Securities Act or the Securities Exchange Act of 1934, as amended (the “Exchange Act”). </w:t>
      </w:r>
    </w:p>
    <w:p>
      <w:pPr>
        <w:pStyle w:val="TextBody"/>
        <w:bidi w:val="0"/>
        <w:spacing w:lineRule="atLeast" w:line="240" w:before="160" w:after="283"/>
        <w:ind w:left="1753" w:right="0" w:firstLine="400"/>
        <w:jc w:val="left"/>
        <w:rPr/>
      </w:pPr>
      <w:r>
        <w:rPr>
          <w:rFonts w:ascii="Times New Roman;Times;serif" w:hAnsi="Times New Roman;Times;serif"/>
          <w:b/>
          <w:i w:val="false"/>
          <w:caps w:val="false"/>
          <w:smallCaps w:val="false"/>
          <w:color w:val="000000"/>
          <w:spacing w:val="-4"/>
          <w:sz w:val="20"/>
        </w:rPr>
        <w:t xml:space="preserve">Our business and an investment in our common stock involve significant risks. These risks are described under the caption “Risk Factors” beginning on page </w:t>
      </w:r>
      <w:hyperlink w:anchor="bRIFA">
        <w:r>
          <w:rPr>
            <w:rStyle w:val="InternetLink"/>
          </w:rPr>
          <w:t>S-4</w:t>
        </w:r>
      </w:hyperlink>
      <w:r>
        <w:rPr>
          <w:rFonts w:ascii="Times New Roman;Times;serif" w:hAnsi="Times New Roman;Times;serif"/>
          <w:b/>
          <w:i w:val="false"/>
          <w:caps w:val="false"/>
          <w:smallCaps w:val="false"/>
          <w:color w:val="000000"/>
          <w:spacing w:val="-4"/>
          <w:sz w:val="20"/>
        </w:rPr>
        <w:t xml:space="preserve"> of this prospectus and in the documents incorporated by reference into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5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state securities commission has approved or disapproved of these securities or passed upon the accuracy or adequacy of this prospectus.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400" w:before="24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TD Cowen</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240" w:before="640" w:after="283"/>
        <w:jc w:val="center"/>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 2026.</w:t>
      </w:r>
      <w:r>
        <w:rPr>
          <w:rFonts w:ascii="Times New Roman;Times;serif" w:hAnsi="Times New Roman;Time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OC2"/>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3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361"/>
        <w:gridCol w:w="109"/>
        <w:gridCol w:w="109"/>
        <w:gridCol w:w="109"/>
        <w:gridCol w:w="109"/>
        <w:gridCol w:w="627"/>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361"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27" w:type="dxa"/>
            <w:tcBorders/>
            <w:shd w:fill="CCEEFF" w:val="clear"/>
            <w:vAlign w:val="center"/>
          </w:tcPr>
          <w:p>
            <w:pPr>
              <w:pStyle w:val="TableContents"/>
              <w:bidi w:val="0"/>
              <w:spacing w:before="0" w:after="283"/>
              <w:jc w:val="right"/>
              <w:rPr/>
            </w:pPr>
            <w:r>
              <w:rPr/>
              <w:t xml:space="preserve">Page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61" w:type="dxa"/>
            <w:tcBorders/>
            <w:vAlign w:val="center"/>
          </w:tcPr>
          <w:p>
            <w:pPr>
              <w:pStyle w:val="TableContents"/>
              <w:bidi w:val="0"/>
              <w:spacing w:before="0" w:after="0"/>
              <w:jc w:val="left"/>
              <w:rPr/>
            </w:pPr>
            <w:hyperlink w:anchor="bATP">
              <w:r>
                <w:rPr>
                  <w:rStyle w:val="InternetLink"/>
                  <w:spacing w:val="4"/>
                </w:rPr>
                <w:t xml:space="preserve">ABOUT THIS PROSPECTUS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27" w:type="dxa"/>
            <w:tcBorders/>
            <w:vAlign w:val="center"/>
          </w:tcPr>
          <w:p>
            <w:pPr>
              <w:pStyle w:val="TableContents"/>
              <w:bidi w:val="0"/>
              <w:spacing w:before="0" w:after="283"/>
              <w:jc w:val="right"/>
              <w:rPr/>
            </w:pPr>
            <w:hyperlink w:anchor="bATP">
              <w:r>
                <w:rPr>
                  <w:rStyle w:val="InternetLink"/>
                  <w:spacing w:val="4"/>
                </w:rPr>
                <w:t>S-ii</w:t>
              </w:r>
            </w:hyperlink>
            <w:hyperlink w:anchor="bAT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61" w:type="dxa"/>
            <w:tcBorders/>
            <w:shd w:fill="CCEEFF" w:val="clear"/>
            <w:vAlign w:val="center"/>
          </w:tcPr>
          <w:p>
            <w:pPr>
              <w:pStyle w:val="TableContents"/>
              <w:bidi w:val="0"/>
              <w:spacing w:before="0" w:after="0"/>
              <w:jc w:val="left"/>
              <w:rPr/>
            </w:pPr>
            <w:hyperlink w:anchor="bSNRF">
              <w:r>
                <w:rPr>
                  <w:rStyle w:val="InternetLink"/>
                  <w:spacing w:val="4"/>
                </w:rPr>
                <w:t xml:space="preserve">SPECIAL NOTE REGARDING FORWARD-LOOKING STATEMENTS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27" w:type="dxa"/>
            <w:tcBorders/>
            <w:shd w:fill="CCEEFF" w:val="clear"/>
            <w:vAlign w:val="center"/>
          </w:tcPr>
          <w:p>
            <w:pPr>
              <w:pStyle w:val="TableContents"/>
              <w:bidi w:val="0"/>
              <w:spacing w:before="0" w:after="283"/>
              <w:jc w:val="right"/>
              <w:rPr/>
            </w:pPr>
            <w:hyperlink w:anchor="bSNRF">
              <w:r>
                <w:rPr>
                  <w:rStyle w:val="InternetLink"/>
                  <w:spacing w:val="4"/>
                </w:rPr>
                <w:t>S-iii</w:t>
              </w:r>
            </w:hyperlink>
            <w:hyperlink w:anchor="bSNR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61" w:type="dxa"/>
            <w:tcBorders/>
            <w:vAlign w:val="center"/>
          </w:tcPr>
          <w:p>
            <w:pPr>
              <w:pStyle w:val="TableContents"/>
              <w:bidi w:val="0"/>
              <w:spacing w:before="0" w:after="0"/>
              <w:jc w:val="left"/>
              <w:rPr/>
            </w:pPr>
            <w:hyperlink w:anchor="bPRSU">
              <w:r>
                <w:rPr>
                  <w:rStyle w:val="InternetLink"/>
                  <w:spacing w:val="4"/>
                </w:rPr>
                <w:t xml:space="preserve">PROSPECTUS SUMMARY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27" w:type="dxa"/>
            <w:tcBorders/>
            <w:vAlign w:val="center"/>
          </w:tcPr>
          <w:p>
            <w:pPr>
              <w:pStyle w:val="TableContents"/>
              <w:bidi w:val="0"/>
              <w:spacing w:before="0" w:after="283"/>
              <w:jc w:val="right"/>
              <w:rPr/>
            </w:pPr>
            <w:hyperlink w:anchor="bPRSU">
              <w:r>
                <w:rPr>
                  <w:rStyle w:val="InternetLink"/>
                  <w:spacing w:val="4"/>
                </w:rPr>
                <w:t>S-1</w:t>
              </w:r>
            </w:hyperlink>
            <w:hyperlink w:anchor="bPRSU">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61" w:type="dxa"/>
            <w:tcBorders/>
            <w:shd w:fill="CCEEFF" w:val="clear"/>
            <w:vAlign w:val="center"/>
          </w:tcPr>
          <w:p>
            <w:pPr>
              <w:pStyle w:val="TableContents"/>
              <w:bidi w:val="0"/>
              <w:spacing w:before="0" w:after="0"/>
              <w:jc w:val="left"/>
              <w:rPr/>
            </w:pPr>
            <w:hyperlink w:anchor="bTHOF">
              <w:r>
                <w:rPr>
                  <w:rStyle w:val="InternetLink"/>
                  <w:spacing w:val="4"/>
                </w:rPr>
                <w:t xml:space="preserve">THE OFFERING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27" w:type="dxa"/>
            <w:tcBorders/>
            <w:shd w:fill="CCEEFF" w:val="clear"/>
            <w:vAlign w:val="center"/>
          </w:tcPr>
          <w:p>
            <w:pPr>
              <w:pStyle w:val="TableContents"/>
              <w:bidi w:val="0"/>
              <w:spacing w:before="0" w:after="283"/>
              <w:jc w:val="right"/>
              <w:rPr/>
            </w:pPr>
            <w:hyperlink w:anchor="bTHOF">
              <w:r>
                <w:rPr>
                  <w:rStyle w:val="InternetLink"/>
                  <w:spacing w:val="4"/>
                </w:rPr>
                <w:t>S-3</w:t>
              </w:r>
            </w:hyperlink>
            <w:hyperlink w:anchor="bTHO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61" w:type="dxa"/>
            <w:tcBorders/>
            <w:vAlign w:val="center"/>
          </w:tcPr>
          <w:p>
            <w:pPr>
              <w:pStyle w:val="TableContents"/>
              <w:bidi w:val="0"/>
              <w:spacing w:before="0" w:after="0"/>
              <w:jc w:val="left"/>
              <w:rPr/>
            </w:pPr>
            <w:hyperlink w:anchor="bRIFA">
              <w:r>
                <w:rPr>
                  <w:rStyle w:val="InternetLink"/>
                  <w:spacing w:val="4"/>
                </w:rPr>
                <w:t xml:space="preserve">RISK FACTORS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27" w:type="dxa"/>
            <w:tcBorders/>
            <w:vAlign w:val="center"/>
          </w:tcPr>
          <w:p>
            <w:pPr>
              <w:pStyle w:val="TableContents"/>
              <w:bidi w:val="0"/>
              <w:spacing w:before="0" w:after="283"/>
              <w:jc w:val="right"/>
              <w:rPr/>
            </w:pPr>
            <w:hyperlink w:anchor="bRIFA">
              <w:r>
                <w:rPr>
                  <w:rStyle w:val="InternetLink"/>
                  <w:spacing w:val="4"/>
                </w:rPr>
                <w:t>S-4</w:t>
              </w:r>
            </w:hyperlink>
            <w:hyperlink w:anchor="bRIF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61" w:type="dxa"/>
            <w:tcBorders/>
            <w:shd w:fill="CCEEFF" w:val="clear"/>
            <w:vAlign w:val="center"/>
          </w:tcPr>
          <w:p>
            <w:pPr>
              <w:pStyle w:val="TableContents"/>
              <w:bidi w:val="0"/>
              <w:spacing w:before="0" w:after="0"/>
              <w:jc w:val="left"/>
              <w:rPr/>
            </w:pPr>
            <w:hyperlink w:anchor="bUOP">
              <w:r>
                <w:rPr>
                  <w:rStyle w:val="InternetLink"/>
                  <w:spacing w:val="4"/>
                </w:rPr>
                <w:t xml:space="preserve">USE OF PROCEEDS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27" w:type="dxa"/>
            <w:tcBorders/>
            <w:shd w:fill="CCEEFF" w:val="clear"/>
            <w:vAlign w:val="center"/>
          </w:tcPr>
          <w:p>
            <w:pPr>
              <w:pStyle w:val="TableContents"/>
              <w:bidi w:val="0"/>
              <w:spacing w:before="0" w:after="283"/>
              <w:jc w:val="right"/>
              <w:rPr/>
            </w:pPr>
            <w:hyperlink w:anchor="bUOP">
              <w:r>
                <w:rPr>
                  <w:rStyle w:val="InternetLink"/>
                  <w:spacing w:val="4"/>
                </w:rPr>
                <w:t>S-6</w:t>
              </w:r>
            </w:hyperlink>
            <w:hyperlink w:anchor="bU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61" w:type="dxa"/>
            <w:tcBorders/>
            <w:vAlign w:val="center"/>
          </w:tcPr>
          <w:p>
            <w:pPr>
              <w:pStyle w:val="TableContents"/>
              <w:bidi w:val="0"/>
              <w:spacing w:before="0" w:after="0"/>
              <w:jc w:val="left"/>
              <w:rPr/>
            </w:pPr>
            <w:hyperlink w:anchor="bPOD">
              <w:r>
                <w:rPr>
                  <w:rStyle w:val="InternetLink"/>
                  <w:spacing w:val="4"/>
                </w:rPr>
                <w:t xml:space="preserve">PLAN OF DISTRIBUTION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27" w:type="dxa"/>
            <w:tcBorders/>
            <w:vAlign w:val="center"/>
          </w:tcPr>
          <w:p>
            <w:pPr>
              <w:pStyle w:val="TableContents"/>
              <w:bidi w:val="0"/>
              <w:spacing w:before="0" w:after="283"/>
              <w:jc w:val="right"/>
              <w:rPr/>
            </w:pPr>
            <w:hyperlink w:anchor="bPOD">
              <w:r>
                <w:rPr>
                  <w:rStyle w:val="InternetLink"/>
                  <w:spacing w:val="4"/>
                </w:rPr>
                <w:t>S-7</w:t>
              </w:r>
            </w:hyperlink>
            <w:hyperlink w:anchor="bPO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61" w:type="dxa"/>
            <w:tcBorders/>
            <w:shd w:fill="CCEEFF" w:val="clear"/>
            <w:vAlign w:val="center"/>
          </w:tcPr>
          <w:p>
            <w:pPr>
              <w:pStyle w:val="TableContents"/>
              <w:bidi w:val="0"/>
              <w:spacing w:before="0" w:after="0"/>
              <w:jc w:val="left"/>
              <w:rPr/>
            </w:pPr>
            <w:hyperlink w:anchor="bLEMA">
              <w:r>
                <w:rPr>
                  <w:rStyle w:val="InternetLink"/>
                  <w:spacing w:val="4"/>
                </w:rPr>
                <w:t xml:space="preserve">LEGAL MATTERS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27" w:type="dxa"/>
            <w:tcBorders/>
            <w:shd w:fill="CCEEFF" w:val="clear"/>
            <w:vAlign w:val="center"/>
          </w:tcPr>
          <w:p>
            <w:pPr>
              <w:pStyle w:val="TableContents"/>
              <w:bidi w:val="0"/>
              <w:spacing w:before="0" w:after="283"/>
              <w:jc w:val="right"/>
              <w:rPr/>
            </w:pPr>
            <w:hyperlink w:anchor="bLEMA">
              <w:r>
                <w:rPr>
                  <w:rStyle w:val="InternetLink"/>
                  <w:spacing w:val="4"/>
                </w:rPr>
                <w:t>S-9</w:t>
              </w:r>
            </w:hyperlink>
            <w:hyperlink w:anchor="bLEM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61" w:type="dxa"/>
            <w:tcBorders/>
            <w:vAlign w:val="center"/>
          </w:tcPr>
          <w:p>
            <w:pPr>
              <w:pStyle w:val="TableContents"/>
              <w:bidi w:val="0"/>
              <w:spacing w:before="0" w:after="0"/>
              <w:jc w:val="left"/>
              <w:rPr/>
            </w:pPr>
            <w:hyperlink w:anchor="bEXP">
              <w:r>
                <w:rPr>
                  <w:rStyle w:val="InternetLink"/>
                  <w:spacing w:val="4"/>
                </w:rPr>
                <w:t xml:space="preserve">EXPERTS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27" w:type="dxa"/>
            <w:tcBorders/>
            <w:vAlign w:val="center"/>
          </w:tcPr>
          <w:p>
            <w:pPr>
              <w:pStyle w:val="TableContents"/>
              <w:bidi w:val="0"/>
              <w:spacing w:before="0" w:after="283"/>
              <w:jc w:val="right"/>
              <w:rPr/>
            </w:pPr>
            <w:hyperlink w:anchor="bEXP">
              <w:r>
                <w:rPr>
                  <w:rStyle w:val="InternetLink"/>
                  <w:spacing w:val="4"/>
                </w:rPr>
                <w:t>S-9</w:t>
              </w:r>
            </w:hyperlink>
            <w:hyperlink w:anchor="bEX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61" w:type="dxa"/>
            <w:tcBorders/>
            <w:shd w:fill="CCEEFF" w:val="clear"/>
            <w:vAlign w:val="center"/>
          </w:tcPr>
          <w:p>
            <w:pPr>
              <w:pStyle w:val="TableContents"/>
              <w:bidi w:val="0"/>
              <w:spacing w:before="0" w:after="0"/>
              <w:jc w:val="left"/>
              <w:rPr/>
            </w:pPr>
            <w:hyperlink w:anchor="bWYCF">
              <w:r>
                <w:rPr>
                  <w:rStyle w:val="InternetLink"/>
                  <w:spacing w:val="4"/>
                </w:rPr>
                <w:t xml:space="preserve">WHERE YOU CAN FIND MORE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27" w:type="dxa"/>
            <w:tcBorders/>
            <w:shd w:fill="CCEEFF" w:val="clear"/>
            <w:vAlign w:val="center"/>
          </w:tcPr>
          <w:p>
            <w:pPr>
              <w:pStyle w:val="TableContents"/>
              <w:bidi w:val="0"/>
              <w:spacing w:before="0" w:after="283"/>
              <w:jc w:val="right"/>
              <w:rPr/>
            </w:pPr>
            <w:hyperlink w:anchor="bWYCF">
              <w:r>
                <w:rPr>
                  <w:rStyle w:val="InternetLink"/>
                  <w:spacing w:val="4"/>
                </w:rPr>
                <w:t>S-10</w:t>
              </w:r>
            </w:hyperlink>
            <w:hyperlink w:anchor="bWYC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61" w:type="dxa"/>
            <w:tcBorders/>
            <w:vAlign w:val="center"/>
          </w:tcPr>
          <w:p>
            <w:pPr>
              <w:pStyle w:val="TableContents"/>
              <w:bidi w:val="0"/>
              <w:spacing w:before="0" w:after="0"/>
              <w:jc w:val="left"/>
              <w:rPr/>
            </w:pPr>
            <w:hyperlink w:anchor="bINBR">
              <w:r>
                <w:rPr>
                  <w:rStyle w:val="InternetLink"/>
                  <w:spacing w:val="4"/>
                </w:rPr>
                <w:t xml:space="preserve">INCORPORATION BY REFERENCE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27" w:type="dxa"/>
            <w:tcBorders/>
            <w:vAlign w:val="center"/>
          </w:tcPr>
          <w:p>
            <w:pPr>
              <w:pStyle w:val="TableContents"/>
              <w:bidi w:val="0"/>
              <w:spacing w:before="0" w:after="283"/>
              <w:jc w:val="right"/>
              <w:rPr/>
            </w:pPr>
            <w:hyperlink w:anchor="bINBR">
              <w:r>
                <w:rPr>
                  <w:rStyle w:val="InternetLink"/>
                  <w:spacing w:val="4"/>
                </w:rPr>
                <w:t>S-11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bATP"/>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stated, all references in this prospectus to “we,” “us,” “our,” “the company,” “YARW,” “Yarrow,” and similar designations, except where the context requires otherwise, refer collectively to Yarrow Bioscience, Inc., a Delaware corporation, together with its consolidated subsidiaries.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that we filed with the Securities and Exchange Commission (the “SEC”), using a “shelf” registration process. Under the registration statement, we may, from time to time, sell any combination of the securities described in the registration statement. Under this prospectus, we may offer and sell shares of our common stock having an aggregate offering price of up to $50.0 million from time to time at prices and on terms to be determined by market conditions at the time of offering. This prospectus, together with the accompanying base prospectus and the documents incorporated by reference herein and therein, includes all material information relating to this offering.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provide information to you about this offering of shares of our common stock in two separate documents that are bound together: (1) this sales agreement prospectus, which describes the specific details regarding this offering, and (2) the accompanying base prospectus, which provides general information, some of which may not apply to this offering. Generally, when we refer to this “prospectus,” we are referring to both documents combined. If information in this sales agreement prospectus is inconsistent with the accompanying base prospectus, you should rely on this sales agreement prospectus. However, if any statement in one of these documents is inconsistent with a statement in a document having a later date (for example, a document incorporated by reference into this prospectus), the statement in the document having the later date modifies or supersedes the earlier statement as our business, financial condition, results of operations and prospects may have changed since the earlier dates.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should rely only on the information contained in, or incorporated by reference into, this prospectus, the accompanying base prospectus or in any related free writing prospectus filed by us with the SEC. Neither we nor TD Cowen have authorized anyone to provide you with different information. This prospectus and the accompanying base prospectus do not constitute an offer to sell or the solicitation of an offer to buy any securities other than the securities described in this prospectus or an offer to sell or the solicitation of an offer to buy such securities in any circumstances in which such offer or solicitation is unlawful. We are not making offers to sell the securities in any jurisdiction in which an offer or solicitation is not authorized or in which the person making such offer or solicitation is not qualified to do so or to anyone to whom it is unlawful to make an offer or solicitation. You should assume that the information appearing in this prospectus, the accompanying base prospectus, the documents incorporated by reference and any related free writing prospectus is accurate only as of their respective dates. Our business, financial condition, results of operations and prospects may have changed materially since those dates. It is important for you to read and consider all information contained in this prospectus, the accompanying base prospectus and any free writing prospectus that we have authorized for use in connection with this offering, including the documents incorporated by reference herein or therein, in making your investment decision. You should also read and consider the information in the documents to which we have referred you in the sections titled “Where You Can Find More Information” and “Incorporation by Reference” in this prospectus.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bSNRF"/>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the accompanying base prospectus and the information incorporated by reference herein and therein include “forward-looking statements” within the meaning of Section 27A of the Securities Act and Section 21E of the Exchange 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Forward-looking statements include statements that may relate to our plans, objectives, goals, strategies, future events, future revenues or performance, capital expenditures, financing needs and other information that is not historical information. All statements other than statements of historical facts contained in this prospectus, including the information incorporated by reference in this prospectus, are statements that could be deemed forward-looking statements reflecting the current beliefs and expectations of management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These statements are often identified by the use of words such as “aim,” “anticipate,” “assume,” “believe,” “contemplate,” “continue,” “could,” “due,” “estimate,” “expect,” “goal,” “if,” “intend,” “may,” “objective,” “plan,” “predict,” “potential,” “positioned,” “seek,” “should,” “target,” “until,” “will,” “would,” and similar expressions or variations.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there is a reasonable basis for our expectations and beliefs, but they are inherently uncertain. We may not realize our expectations, and our beliefs may not prove correct. Actual results could differ materially from those described or implied by such forward-looking statements. These forward-looking statements are subject to a number of risks, uncertainties, assumptions and other important factors, including those described in this prospectus and the documents incorporated herein by reference, particularly in the sections of such documents titled “Risk Factors” and “Management’s Discussion and Analysis of Financial Condition and Results of Operations.” The following uncertainties and factors, among others, could affect future performance and cause actual results to differ materially from those matters expressed in or implied by forward-looking statements: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successfully execute on our strategy for the development of YB-101; </w:t>
      </w:r>
      <w:r>
        <mc:AlternateContent>
          <mc:Choice Requires="wps">
            <w:drawing>
              <wp:anchor behindDoc="0" distT="7366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2"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 cost and timing of our planned filing of investigational drug applications or their equivalents, planned product development activities, and initiation of clinical trials of our current product candidates, including YB-101, and any future product candidates; </w:t>
      </w:r>
      <w:r>
        <mc:AlternateContent>
          <mc:Choice Requires="wps">
            <w:drawing>
              <wp:anchor behindDoc="0" distT="7366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3"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retain the continued service of our directors, officers, key employees and consultants; </w:t>
      </w:r>
      <w:r>
        <mc:AlternateContent>
          <mc:Choice Requires="wps">
            <w:drawing>
              <wp:anchor behindDoc="0" distT="7493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84"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continue to grow and manage our growth effectively; </w:t>
      </w:r>
      <w:r>
        <mc:AlternateContent>
          <mc:Choice Requires="wps">
            <w:drawing>
              <wp:anchor behindDoc="0" distT="7493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85"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obtain regulatory approval for our current or future product candidates that we may identify or develop; </w:t>
      </w:r>
      <w:r>
        <mc:AlternateContent>
          <mc:Choice Requires="wps">
            <w:drawing>
              <wp:anchor behindDoc="0" distT="7493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86"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ensure adequate supply of our current or future product candidates; </w:t>
      </w:r>
      <w:r>
        <mc:AlternateContent>
          <mc:Choice Requires="wps">
            <w:drawing>
              <wp:anchor behindDoc="0" distT="7493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87"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maintain third-party relationships necessary to conduct our business; </w:t>
      </w:r>
      <w:r>
        <mc:AlternateContent>
          <mc:Choice Requires="wps">
            <w:drawing>
              <wp:anchor behindDoc="0" distT="7493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88"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establish an adequate safety or efficacy profile for our current or future product candidates that we may pursue; </w:t>
      </w:r>
      <w:r>
        <mc:AlternateContent>
          <mc:Choice Requires="wps">
            <w:drawing>
              <wp:anchor behindDoc="0" distT="7493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89"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implementation and execution of our strategic plans for our business, our current or future product candidates we may develop and our technology; </w:t>
      </w:r>
      <w:r>
        <mc:AlternateContent>
          <mc:Choice Requires="wps">
            <w:drawing>
              <wp:anchor behindDoc="0" distT="7493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0"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intellectual property position, including the scope of protection we are able to establish and maintain for intellectual property rights covering our product candidates and technology; </w:t>
      </w:r>
      <w:r>
        <mc:AlternateContent>
          <mc:Choice Requires="wps">
            <w:drawing>
              <wp:anchor behindDoc="0" distT="7493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1"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rate and degree of market acceptance and clinical utility for our current or future product candidates we may develop; </w:t>
      </w:r>
      <w:r>
        <mc:AlternateContent>
          <mc:Choice Requires="wps">
            <w:drawing>
              <wp:anchor behindDoc="0" distT="7493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2"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estimates about the size of our market opportunity; </w:t>
      </w:r>
      <w:r>
        <mc:AlternateContent>
          <mc:Choice Requires="wps">
            <w:drawing>
              <wp:anchor behindDoc="0" distT="7493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3"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estimates of expenses, future revenues, capital requirements and our needs for additional financing; </w:t>
      </w:r>
      <w:r>
        <mc:AlternateContent>
          <mc:Choice Requires="wps">
            <w:drawing>
              <wp:anchor behindDoc="0" distT="7493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94"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maintain and establish collaborations; </w:t>
      </w:r>
      <w:r>
        <mc:AlternateContent>
          <mc:Choice Requires="wps">
            <w:drawing>
              <wp:anchor behindDoc="0" distT="7493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95"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16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financial performance and liquidity; </w:t>
      </w:r>
      <w:r>
        <mc:AlternateContent>
          <mc:Choice Requires="wps">
            <w:drawing>
              <wp:anchor behindDoc="0" distT="0" distB="0" distL="254000" distR="0" simplePos="0" locked="0" layoutInCell="1" allowOverlap="1" relativeHeight="104">
                <wp:simplePos x="0" y="0"/>
                <wp:positionH relativeFrom="column">
                  <wp:align>left</wp:align>
                </wp:positionH>
                <wp:positionV relativeFrom="line">
                  <wp:posOffset>635</wp:posOffset>
                </wp:positionV>
                <wp:extent cx="127000" cy="350520"/>
                <wp:effectExtent l="0" t="0" r="0" b="0"/>
                <wp:wrapSquare wrapText="right"/>
                <wp:docPr id="96"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developments relating to our competitors and our industry, including the impact of government regulation; </w:t>
      </w:r>
      <w:r>
        <mc:AlternateContent>
          <mc:Choice Requires="wps">
            <w:drawing>
              <wp:anchor behindDoc="0" distT="7620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97"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retain the continued service of our key professionals and consultants and to identify, hire and retain additional qualified professionals; </w:t>
      </w:r>
      <w:r>
        <mc:AlternateContent>
          <mc:Choice Requires="wps">
            <w:drawing>
              <wp:anchor behindDoc="0" distT="7620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98"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maintain adequate internal controls over financial reporting; </w:t>
      </w:r>
      <w:r>
        <mc:AlternateContent>
          <mc:Choice Requires="wps">
            <w:drawing>
              <wp:anchor behindDoc="0" distT="7620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99"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effects of global economic uncertainty and financial market volatility caused by economic effects of volatility in inflation and interest rates, tariffs, geopolitical instability, changes in international trade relationships and conflicts; </w:t>
      </w:r>
      <w:r>
        <mc:AlternateContent>
          <mc:Choice Requires="wps">
            <w:drawing>
              <wp:anchor behindDoc="0" distT="7620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0"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expected use of proceeds from this offering; and </w:t>
      </w:r>
      <w:r>
        <mc:AlternateContent>
          <mc:Choice Requires="wps">
            <w:drawing>
              <wp:anchor behindDoc="0" distT="7620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1"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risks and uncertainties, including those incorporated by reference under the section titled “Risk Factors.” </w:t>
      </w:r>
      <w:r>
        <mc:AlternateContent>
          <mc:Choice Requires="wps">
            <w:drawing>
              <wp:anchor behindDoc="0" distT="7620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2"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factors, risks and uncertainties referred to above and others are more fully described under the heading “Risk Factors” in this prospectus and under the heading “Risk Factors” in our Annual Report on Form 10-K, as updated from time to time in our subsequent Quarterly Reports on Form 10-Q and Current Reports on Form 8-K. Forward-looking statements should be regarded solely as our current plans, estimates and beliefs. You should not place undue reliance on forward-looking statements. The forward-looking statements contained herein represent our judgment as of the date of this prospectus. We are not under any obligation, and we expressly disclaim any obligation, to update or alter any forward-looking statements, whether as a result of new information, future events or otherwise, except to the extent required by law. You should read this prospectus, the accompanying base prospectus and the information incorporated by reference herein and therein completely and with the understanding that our actual future results may be materially different from what we expect.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bPRSU"/>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PROSPECTUS 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caps w:val="false"/>
          <w:smallCaps w:val="false"/>
          <w:color w:val="000000"/>
          <w:spacing w:val="4"/>
          <w:sz w:val="20"/>
          <w:bdr w:val="single" w:sz="8" w:space="1" w:color="000000"/>
        </w:rPr>
        <w:t>This summary highlights information contained elsewhere in this prospectus and the accompanying base prospectus or incorporated by reference herein or therein. Because it is a summary, it does not contain all the information you should consider before investing in our common stock. You should carefully read this entire prospectus and the accompanying base prospectus, including the “Risk Factors” section beginning on page </w:t>
      </w:r>
      <w:hyperlink w:anchor="bRIFA">
        <w:r>
          <w:rPr>
            <w:rStyle w:val="InternetLink"/>
          </w:rPr>
          <w:t>S-4</w:t>
        </w:r>
      </w:hyperlink>
      <w:r>
        <w:rPr>
          <w:rFonts w:ascii="Times New Roman;Times;serif" w:hAnsi="Times New Roman;Times;serif"/>
          <w:b w:val="false"/>
          <w:i/>
          <w:caps w:val="false"/>
          <w:smallCaps w:val="false"/>
          <w:color w:val="000000"/>
          <w:spacing w:val="4"/>
          <w:sz w:val="20"/>
          <w:bdr w:val="single" w:sz="8" w:space="1" w:color="000000"/>
        </w:rPr>
        <w:t xml:space="preserve"> of this prospectus, along with our consolidated financial statements and notes to those consolidated financial statements and the other information incorporated by reference in this prospectus and the accompanying base prospectus, before making an investment decision.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Company Overview</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 clinical-stage biotechnology company focused on developing transformative therapies to treat autoimmune thyroid diseases. Our lead product candidate, YB-101 (also known as GenSci098), is a humanized, monoclonal antibody targeting the thyroid-stimulating hormone receptor (“TSHR”), which we plan to develop for the treatment of Graves’ disease, or GD, and potentially thyroid eye disease (“TED”). Both GD and TED are serious and poorly treated autoimmune diseases in which autoantibodies against TSHR attack and overstimulate the receptor, leading to a wide spectrum of thyroidal and extra-thyroidal clinical sequelae.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YB-101 was designed to selectively bind to TSHR and block autoantibody-induced receptor activation, thereby directly inhibiting the pathogenic activity of thyroid-stimulating autoantibodies that drive disease progression in GD and TED as well as the biological pathway responsible for hyperthyroidism and orbitopathy. We believe that this novel and targeted approach represents a potential breakthrough for patients with GD and TED and has the potential to address an important unmet need for therapies with differentiated risk-benefit profiles.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Corporate Information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were incorporated in October 2011 as a Delaware corporation under the name Tigercat Pharma, Inc. In September 2020, we changed our name from “Menlo Therapeutics Inc.” to “VYNE Therapeutics Inc.,” following our merger with Foamix Pharmaceuticals Ltd. in March 2020. In July 2026, we changed our name from “VYNE Therapeutics Inc.” to “Yarrow Bioscience, Inc.,” following our merger with Yarrow Bioscience Operating Company Corp. (formerly known as Yarrow Bioscience, Inc.).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July 24, 2026, we effected a 1-for-50 reverse stock split of our common stock (the “Reverse Stock Split”). All references to common stock share and per share amounts in this prospectus supplement are presented on a post-Reverse Stock Split basis.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principal executive offices are located at 470 James Street, Suite 007, New Haven, Connecticut 06513 and our telephone number is (203) 433-7577. Our website address is </w:t>
      </w:r>
      <w:r>
        <w:rPr>
          <w:rFonts w:ascii="Times New Roman;Times;serif" w:hAnsi="Times New Roman;Times;serif"/>
          <w:b w:val="false"/>
          <w:i/>
          <w:caps w:val="false"/>
          <w:smallCaps w:val="false"/>
          <w:color w:val="000000"/>
          <w:spacing w:val="4"/>
          <w:sz w:val="20"/>
          <w:bdr w:val="single" w:sz="8" w:space="1" w:color="000000"/>
        </w:rPr>
        <w:t>www.yarrowbioscience.com</w:t>
      </w:r>
      <w:r>
        <w:rPr>
          <w:rFonts w:ascii="Times New Roman;Times;serif" w:hAnsi="Times New Roman;Times;serif"/>
          <w:b w:val="false"/>
          <w:i w:val="false"/>
          <w:caps w:val="false"/>
          <w:smallCaps w:val="false"/>
          <w:color w:val="000000"/>
          <w:spacing w:val="4"/>
          <w:sz w:val="20"/>
          <w:bdr w:val="single" w:sz="8" w:space="1" w:color="000000"/>
        </w:rPr>
        <w:t xml:space="preserve">. The information contained on, or accessible through, our website is not incorporated by reference into this prospectus or the accompanying base prospectus. We have included our website in this prospectus solely as an inactive textual reference.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make available on or through our website certain reports and amendments to those reports that we file with, or furnish to, the SEC in accordance with the Exchange Act. These include our Annual Reports on Form 10-K, our Quarterly Reports on Form 10-Q and our Current Reports on Form 8-K, and amendments to those reports filed or furnished pursuant to Section 13(a) or 15(d) of the Exchange Act. We make this information available on or through our website free of charge as soon as reasonably practicable after we electronically file the information with, or furnish it to, the SEC.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Implications of Being a Smaller Reporting Company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 “smaller reporting company,” as defined in Rule 12b-2 of the Exchange Act, meaning that the market value of our shares held by non-affiliates is less than $700 million and our annual revenue was less than $100 million during the most recently completed fiscal year. We may continue to be a smaller reporting company if either (i) the market value of our shares held by non-affiliates is less than $250 million or (ii) our annual revenue was less than $100 million during the most recently completed fiscal year and the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market value of our shares held by non-affiliates is less than $700 million. As a smaller reporting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Additionally, as a smaller reporting company, we may continue to take advantage of the exception from compliance with the auditor attestation requirements of Section 404 of the Sarbanes-Oxley Act of 2002, as amended. If investors consider our common shares less attractive as a result of our election to use the scaled-back disclosure permitted for smaller reporting companies, there may be a less active trading market for our common shares and our share price may be more volatile.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bTHOF"/>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Common Stock Offered by Us</w:t>
      </w:r>
      <w:r>
        <w:rPr>
          <w:rFonts w:ascii="Times New Roman;Times;serif" w:hAnsi="Times New Roman;Times;serif"/>
          <w:b/>
          <w:i w:val="false"/>
          <w:caps w:val="false"/>
          <w:smallCaps w:val="false"/>
          <w:color w:val="000000"/>
          <w:sz w:val="20"/>
          <w:bdr w:val="single" w:sz="8" w:space="1" w:color="000000"/>
        </w:rPr>
        <w:t xml:space="preserve"> </w:t>
      </w:r>
    </w:p>
    <w:p>
      <w:pPr>
        <w:pStyle w:val="TextBody"/>
        <w:bidi w:val="0"/>
        <w:spacing w:lineRule="atLeast" w:line="240" w:before="0" w:after="283"/>
        <w:ind w:left="4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Shares of our common stock having an aggregate offering price of up to $50.0 million.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Manner of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993" w:right="0" w:hanging="0"/>
        <w:jc w:val="left"/>
        <w:rPr/>
      </w:pPr>
      <w:r>
        <w:rPr>
          <w:caps w:val="false"/>
          <w:smallCaps w:val="false"/>
          <w:color w:val="000000"/>
          <w:spacing w:val="4"/>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At the market” offering that may be made from time to time through our sales agent, TD Cowen. See “Plan of Distribution” beginning on page </w:t>
      </w:r>
      <w:hyperlink w:anchor="bPOD">
        <w:r>
          <w:rPr>
            <w:rStyle w:val="InternetLink"/>
          </w:rPr>
          <w:t>S-7</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prospectus.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Use of Proceeds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9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We intend to use the net proceeds, if any, from this offering to fund research and development expenses for our pipeline and general corporate purposes, which may include working capital, capital expenditures and other general corporate purposes. See “Use of Proceeds” on page </w:t>
      </w:r>
      <w:hyperlink w:anchor="bUOP">
        <w:r>
          <w:rPr>
            <w:rStyle w:val="InternetLink"/>
          </w:rPr>
          <w:t>S-6</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prospectus.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Risk Factors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9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You should read the “Risk Factors” section beginning on page </w:t>
      </w:r>
      <w:hyperlink w:anchor="bRIFA">
        <w:r>
          <w:rPr>
            <w:rStyle w:val="InternetLink"/>
          </w:rPr>
          <w:t>S-4</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prospectus as well as those risk factors that are incorporated by reference in this prospectus and the accompanying base prospectus for a discussion of factors to carefully consider before deciding to purchase shares of our common stock.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Nasdaq Capital Market Symbol</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99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YARW”</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bRIFA"/>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Investing in our common stock involves a high degree of risk. In addition to the other information contained in this prospectus, the accompanying base prospectus and in the documents we incorporate by reference herein and therein, you should carefully consider the risks discussed below and under the heading “Risk Factors” in our Annual Report on Form 10-K and any subsequent Quarterly Reports on Form 10-Q or Current Reports on Form 8-K, as well as any amendments thereto reflected in subsequent filings with the SEC, which are incorporated by reference into this prospectus in their entirety, together with other information in this prospectus, the accompanying base prospectus, the documents incorporated by reference herein and therein, and any free writing prospectus that we may authorize for use in connection with this offering, before making a decision about investing in our securities. The risks and uncertainties discussed below and in these documents are not the only ones facing us. Additional risks and uncertainties not presently known to us, or that we currently see as immaterial, may also harm our business. If any of these risks actually occur, our business, prospects, operating results and financial condition could suffer materially. In such event, the trading price of our common stock could decline and you might lose all or part of your investment.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Our Common Stock and This Offering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common stock offered hereby will be sold in “at the market offerings,” and investors who buy shares at different times will likely pay different prices.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Investors who purchase shares in this offering at different times will likely pay different prices, and so may experience different outcomes in their investment results. We will have discretion, subject to market demand, to vary the timing, prices, and numbers of shares sold, and there is no minimum or maximum sales price. Investors may experience a decline in the value of their shares as a result of share sales made at prices lower than the prices they paid.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you purchase our common stock in this offering, you may incur dilution in the book value of your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prices at which we sell the shares offered by this prospectus will vary, and these variations may be significant. As a result, the offering price per share of common stock in this offering could exceed the net tangible book value per share of common stock outstanding prior to this offering. If you purchase common stock in this offering, you may pay a price per share of common stock that exceeds our as adjusted net tangible book value per share of common stock after this offering. To the extent outstanding options or warrants are exercised, you would incur further dilution.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It is not possible to predict the actual number of shares we will sell under the A&amp;R Sales Agreement, or the gross proceeds resulting from those sales.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limitations in the A&amp;R Sales Agreement and compliance with applicable law, we have the discretion to deliver a placement notice to the sales agent at any time throughout the term of the A&amp;R Sales Agreement. The number of shares that are sold through the sales agent after delivering a placement notice will fluctuate based on a number of factors, including the market price of the common stock during the sales period, the limits we set with the sales agent in any applicable placement notice, and the demand for our common stock during the sales period. Because the price per share of each share sold will fluctuate during the sales period, it is not currently possible to predict the number of shares that will be sold or the gross proceeds to be raised in connection with those sales, if any.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Future sales and issuances of our common stock or rights to purchase common stock pursuant to our equity compensation plans could result in additional dilution of the percentage ownership of our stockholders and could cause the price of our common stock to decline.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need additional capital in the future to continue our planned operations.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or if we issue common stock pursuant to our equity compensation plans, investors may be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5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materially diluted by subsequent sales or issuances. These sales or issuances may also result in material dilution to our existing stockholders, and new investors could gain rights superior to our existing stockholders. </w:t>
      </w:r>
    </w:p>
    <w:p>
      <w:pPr>
        <w:pStyle w:val="TextBody"/>
        <w:bidi w:val="0"/>
        <w:spacing w:lineRule="atLeast" w:line="240" w:before="240" w:after="283"/>
        <w:jc w:val="left"/>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We will have broad discretion in the use of the net proceeds from this offering and may not use them effectively.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We will have broad discretion in the use of the net proceeds from this offering and could spend the proceeds in ways that do not improve our results of operations or enhance the value of our common stock. Pending our use of the net proceeds from this offering, we intend to invest the net proceeds in a variety of capital preservation investments, including short-term, interest-bearing, investment-grade securities, certificates of deposit or government securities. Our failure to apply these funds effectively could have a material adverse effect on our business, impair or delay our ability to develop our product candidates and cause the price of our common stock to decline. See the section entitled “Use of Proceeds” on page </w:t>
      </w:r>
      <w:hyperlink w:anchor="bUOP">
        <w:r>
          <w:rPr>
            <w:rStyle w:val="InternetLink"/>
          </w:rPr>
          <w:t>S-6</w:t>
        </w:r>
      </w:hyperlink>
      <w:r>
        <w:rPr>
          <w:rFonts w:ascii="Times New Roman;Times;serif" w:hAnsi="Times New Roman;Times;serif"/>
          <w:b w:val="false"/>
          <w:i w:val="false"/>
          <w:caps w:val="false"/>
          <w:smallCaps w:val="false"/>
          <w:color w:val="000000"/>
          <w:spacing w:val="4"/>
          <w:sz w:val="20"/>
        </w:rPr>
        <w:t xml:space="preserve"> of this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bUOP"/>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8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and sell our common stock in the aggregate gross amount of up to $50.0 million from time to time. Because there is no minimum offering amount required as a condition to close this offering, the actual total public offering amount, commissions and proceeds to us, if any, are not determinable at this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anticipate that we will use the net proceeds of this offering primarily to fund research and development expenses for our pipeline and general corporate purposes, which may include working capital, capital expenditures and other general corporate purposes.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expected use of net proceeds to us from this offering represents our current intentions based upon our present plans and business condition. The amount and timing of our actual expenditures will depend upon numerous factors, including the results of our research and development efforts, the timing and success of preclinical studies, our ongoing clinical trials or clinical trials we may commence in the future and the timing of regulatory submissions. As a result, our management will have broad discretion over the use of the net proceeds from this offering.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Pending our use of the net proceeds from this offering, we intend to invest the net proceeds in a variety of capital preservation investments, including short-term, interest-bearing, investment-grade securities, certificates of deposit or government securities.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bPOD"/>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entered into the A&amp;R Sales Agreement with TD Cowen, under which we may issue and sell from time to time up to $50.0 million of our common stock through or to TD Cowen as our sales agent or principal. Sales of our common stock, if any, will be made in negotiated transactions, including block trades or block sales, or by any method permitted by law deemed to be an “at the market offering” as defined in Rule 415 under the Securities Act, including, without limitation, sales made through the Nasdaq Capital Market or on any other existing trading market for our common stock, or by any other method permitted by law. Sales pursuant to the A&amp;R Sales Agreement may be made through an affiliate of TD Cowen.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TD Cowen will offer our common stock subject to the terms and conditions of the A&amp;R Sales Agreement on a daily basis or as otherwise agreed upon by us and TD Cowen. We will designate the maximum amount of common stock to be sold through TD Cowen on a daily basis or otherwise determine such maximum amount together with TD Cowen. Subject to the terms and conditions of the A&amp;R Sales Agreement, TD Cowen will use its commercially reasonable efforts to sell on our behalf all of the shares of common stock requested to be sold by us. We may instruct TD Cowen not to sell common stock if the sales cannot be effected at or above the price designated by us in any such instruction. TD Cowen or we may suspend the offering of our common stock being made through TD Cowen under the A&amp;R Sales Agreement upon proper notice to the other party. TD Cowen and we each have the right, by giving written notice as specified in the A&amp;R Sales Agreement, to terminate the A&amp;R Sales Agreement in each party’s sole discretion at any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compensation payable to TD Cowen as sales agent will be an amount up to 3.0% of the gross sales price of the shares sold through it pursuant to the A&amp;R Sales Agreement. We have also agreed to reimburse TD Cowen up to $75,000 of TD Cowen’s actual outside legal expenses incurred by TD Cowen in connection with the execution of the A&amp;R Sales Agreement, in addition to certain ongoing disbursements of its legal counsel. We estimate that the total expenses of the offering payable by us, excluding commissions payable to TD Cowen under the A&amp;R Sales Agreement, will be approximately $350,000.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remaining sales proceeds, after deducting any expenses payable by us and any transaction fees imposed by any governmental, regulatory, or self-regulatory organization in connection with the sales, will equal our net proceeds for the sale of such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TD Cowen will provide written confirmation to us following the close of trading on the Nasdaq Capital Market on each day in which common stock is sold through it as sales agent under the A&amp;R Sales Agreement. Each confirmation will include the number of shares of common stock sold through it as sales agent on that day, the volume weighted average price of the shares sold, the percentage of the daily trading volume and the net proceeds to 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report at least quarterly the number of shares of common stock sold through TD Cowen under the A&amp;R Sales Agreement and the net proceeds to us in connection with the sales of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Settlement for sales of common stock will occur, unless the parties agree otherwise, on the first business day that is also a trading day following the date on which any sales were made in return for payment of the net proceeds to us. There is no arrangement for funds to be received in an escrow, trust or similar arrangement.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sales of our common stock on our behalf, TD Cowen may be deemed to be an “underwriter” within the meaning of the Securities Act, and the compensation paid to TD Cowen may be deemed to be underwriting commissions or discounts. We have agreed in the A&amp;R Sales Agreement to provide indemnification and contribution to TD Cowen against certain liabilities, including liabilities under the Securities Act. As sales agent, TD Cowen will not engage in any transactions that stabilize our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Nasdaq Capital Market and trades under the symbol “YARW.” The transfer agent of our common stock is Equiniti Trust Company, LLC.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TD Cowen and/or its affiliates have provided, and may in the future provide, various investment banking, commercial banking and other financial services for us and our affiliates for which they have received, and may in the future receive, customary fees. TD Cowen and certain of its affiliates are full service financial institutions engaged in various activities, which may include securities trading, commercial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1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investment banking, financial advisory, investment management, investment research, principal investment, hedging, financing and brokerage activities. In the ordinary course of their various business activities, TD Cowen and certain of its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or its affiliates. TD Cowen and certain of its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bLEMA"/>
      <w:bookmarkEnd w:id="22"/>
      <w:r>
        <w:rPr>
          <w:rFonts w:ascii="calibri;arial;sans-serif" w:hAnsi="calibri;arial;sans-serif"/>
          <w:b w:val="false"/>
          <w:i w:val="false"/>
          <w:caps w:val="false"/>
          <w:smallCaps w:val="false"/>
          <w:color w:val="000000"/>
          <w:sz w:val="16"/>
        </w:rPr>
        <w:t>​</w:t>
      </w:r>
      <w:bookmarkStart w:id="23" w:name="bEXP"/>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shares of common stock offered hereby will be passed upon for us by Gibson, Dunn &amp; Crutcher LLP. Latham &amp; Watkins LLP, San Diego, California, is counsel for TD Cowen in connection with this offering.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financial statements of VYNE Therapeutics Inc. as of December 31, 2025 and 2024, and for each of the years in the two-year period ended December 31, 2025, incorporated by reference in this prospectus, have been audited by Baker Tilly US, LLP, an independent registered public accounting firm, as set forth in the report thereon, and are incorporated by reference in reliance upon such report given on the authority of such firm as experts in accounting and auditing.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financial statements of Yarrow Bioscience, Inc. (changed to Yarrow Bioscience Operating Company Corp. at time of merger) as of December 31, 2025 and for the period from October 3, 2025 (inception) to December 31, 2025, incorporated by reference in this prospectus, have been audited by Baker Tilly US, LLP, an independent registered public accounting firm, as set forth in the report thereon, and are incorporated by reference in reliance upon such report given on the authority of such firm as experts in accounting and auditing.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bWYCF"/>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4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and the accompanying base prospectus are part of a registration statement on Form S-3 we filed with the SEC under the Securities Act and do not contain all of the information set forth in the registration statement. Whenever a reference is made in this prospectus or the accompanying base prospectus to any of our contracts, agreements or other documents, the reference may not be complete and you should refer to the exhibits that are a part of the registration statement or the exhibits to the reports or other documents incorporated by reference in this prospectus and the accompanying base prospectus for a copy of such contract, agreement or other document.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Because we are subject to the information and reporting requirements of the Exchange Act, we file annual, quarterly and current reports, proxy statements and other information with the SEC. Our SEC filings are available to the public over the Internet at the SEC’s website at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Our common stock is listed on the Nasdaq Capital Market under the symbol “YARW.” Copies of certain information filed by us with the SEC are also available free of charge on our website at </w:t>
      </w:r>
      <w:r>
        <w:rPr>
          <w:rFonts w:ascii="Times New Roman;Times;serif" w:hAnsi="Times New Roman;Times;serif"/>
          <w:b w:val="false"/>
          <w:i/>
          <w:caps w:val="false"/>
          <w:smallCaps w:val="false"/>
          <w:color w:val="000000"/>
          <w:spacing w:val="4"/>
          <w:sz w:val="20"/>
        </w:rPr>
        <w:t>www.yarrowbioscience.com</w:t>
      </w:r>
      <w:r>
        <w:rPr>
          <w:rFonts w:ascii="Times New Roman;Times;serif" w:hAnsi="Times New Roman;Times;serif"/>
          <w:b w:val="false"/>
          <w:i w:val="false"/>
          <w:caps w:val="false"/>
          <w:smallCaps w:val="false"/>
          <w:color w:val="000000"/>
          <w:spacing w:val="4"/>
          <w:sz w:val="20"/>
        </w:rPr>
        <w:t xml:space="preserve"> under Investors &amp; Media — Filings &amp; Financials. Our website is not a part of this prospectus and is not incorporated by reference in this prospectus. These filings will be available as soon as reasonably practicable after we electronically file such material with, or furnish it to, the SEC.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bINBR"/>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the information we file with them, which means that we can disclose important information to you by referring you to these documents instead of having to repeat the information in this prospectus. Because we are incorporating by reference future filings with the SEC, this prospectus and the accompanying base prospectus are continually updated and those future filings may modify or supersede some of the information included or incorporated by reference in this prospectus and the accompanying base prospectus. This means that you must look at all of the SEC filings that we incorporate by reference to determine if any of the statements in this prospectus, the accompanying base prospectus or in any document previously incorporated by reference have been modified or superseded. Our periodic reports are filed with the SEC under SEC File Number 001-38356.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hereby incorporate by reference the following documents: </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Annual Report on Form 10-K for the fiscal year ended December 31, 2025, filed with the SEC on </w:t>
      </w:r>
      <w:hyperlink r:id="rId17">
        <w:r>
          <w:rPr>
            <w:rStyle w:val="InternetLink"/>
          </w:rPr>
          <w:t>February 27,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3"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Quarterly Reports on Form 10-Q for the quarters ended March 31, 2026 and June 30, 2026, filed with the SEC on </w:t>
      </w:r>
      <w:hyperlink r:id="rId18">
        <w:r>
          <w:rPr>
            <w:rStyle w:val="InternetLink"/>
          </w:rPr>
          <w:t>May 15, 2026</w:t>
        </w:r>
      </w:hyperlink>
      <w:r>
        <w:rPr>
          <w:rFonts w:ascii="Times New Roman;Times;serif" w:hAnsi="Times New Roman;Times;serif"/>
          <w:b w:val="false"/>
          <w:i w:val="false"/>
          <w:caps w:val="false"/>
          <w:smallCaps w:val="false"/>
          <w:color w:val="000000"/>
          <w:spacing w:val="4"/>
          <w:sz w:val="20"/>
        </w:rPr>
        <w:t xml:space="preserve"> and </w:t>
      </w:r>
      <w:hyperlink r:id="rId19">
        <w:r>
          <w:rPr>
            <w:rStyle w:val="InternetLink"/>
          </w:rPr>
          <w:t>August 13, 2026</w:t>
        </w:r>
      </w:hyperlink>
      <w:r>
        <w:rPr>
          <w:rFonts w:ascii="Times New Roman;Times;serif" w:hAnsi="Times New Roman;Times;serif"/>
          <w:b w:val="false"/>
          <w:i w:val="false"/>
          <w:caps w:val="false"/>
          <w:smallCaps w:val="false"/>
          <w:color w:val="000000"/>
          <w:spacing w:val="4"/>
          <w:sz w:val="20"/>
        </w:rPr>
        <w:t xml:space="preserve">, respectively; </w:t>
      </w:r>
      <w:r>
        <mc:AlternateContent>
          <mc:Choice Requires="wps">
            <w:drawing>
              <wp:anchor behindDoc="0" distT="7620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04"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Reports on Form 8-K filed with the SEC on </w:t>
      </w:r>
      <w:hyperlink r:id="rId20">
        <w:r>
          <w:rPr>
            <w:rStyle w:val="InternetLink"/>
          </w:rPr>
          <w:t>January 30, 2026</w:t>
        </w:r>
      </w:hyperlink>
      <w:r>
        <w:rPr>
          <w:rFonts w:ascii="Times New Roman;Times;serif" w:hAnsi="Times New Roman;Times;serif"/>
          <w:b w:val="false"/>
          <w:i w:val="false"/>
          <w:caps w:val="false"/>
          <w:smallCaps w:val="false"/>
          <w:color w:val="000000"/>
          <w:spacing w:val="4"/>
          <w:sz w:val="20"/>
        </w:rPr>
        <w:t xml:space="preserve">, </w:t>
      </w:r>
      <w:hyperlink r:id="rId21">
        <w:r>
          <w:rPr>
            <w:rStyle w:val="InternetLink"/>
          </w:rPr>
          <w:t>March 11, 2026</w:t>
        </w:r>
      </w:hyperlink>
      <w:r>
        <w:rPr>
          <w:rFonts w:ascii="Times New Roman;Times;serif" w:hAnsi="Times New Roman;Times;serif"/>
          <w:b w:val="false"/>
          <w:i w:val="false"/>
          <w:caps w:val="false"/>
          <w:smallCaps w:val="false"/>
          <w:color w:val="000000"/>
          <w:spacing w:val="4"/>
          <w:sz w:val="20"/>
        </w:rPr>
        <w:t xml:space="preserve">, </w:t>
      </w:r>
      <w:hyperlink r:id="rId22">
        <w:r>
          <w:rPr>
            <w:rStyle w:val="InternetLink"/>
          </w:rPr>
          <w:t>July 10, 2026</w:t>
        </w:r>
      </w:hyperlink>
      <w:r>
        <w:rPr>
          <w:rFonts w:ascii="Times New Roman;Times;serif" w:hAnsi="Times New Roman;Times;serif"/>
          <w:b w:val="false"/>
          <w:i w:val="false"/>
          <w:caps w:val="false"/>
          <w:smallCaps w:val="false"/>
          <w:color w:val="000000"/>
          <w:spacing w:val="4"/>
          <w:sz w:val="20"/>
        </w:rPr>
        <w:t xml:space="preserve"> (except for the information furnished under Item 7.01 therein and Exhibit 99.1 thereto), </w:t>
      </w:r>
      <w:hyperlink r:id="rId23">
        <w:r>
          <w:rPr>
            <w:rStyle w:val="InternetLink"/>
          </w:rPr>
          <w:t>July 20, 2026</w:t>
        </w:r>
      </w:hyperlink>
      <w:r>
        <w:rPr>
          <w:rFonts w:ascii="Times New Roman;Times;serif" w:hAnsi="Times New Roman;Times;serif"/>
          <w:b w:val="false"/>
          <w:i w:val="false"/>
          <w:caps w:val="false"/>
          <w:smallCaps w:val="false"/>
          <w:color w:val="000000"/>
          <w:spacing w:val="4"/>
          <w:sz w:val="20"/>
        </w:rPr>
        <w:t xml:space="preserve">, </w:t>
      </w:r>
      <w:hyperlink r:id="rId24">
        <w:r>
          <w:rPr>
            <w:rStyle w:val="InternetLink"/>
          </w:rPr>
          <w:t>July 21, 2026</w:t>
        </w:r>
      </w:hyperlink>
      <w:r>
        <w:rPr>
          <w:rFonts w:ascii="Times New Roman;Times;serif" w:hAnsi="Times New Roman;Times;serif"/>
          <w:b w:val="false"/>
          <w:i w:val="false"/>
          <w:caps w:val="false"/>
          <w:smallCaps w:val="false"/>
          <w:color w:val="000000"/>
          <w:spacing w:val="4"/>
          <w:sz w:val="20"/>
        </w:rPr>
        <w:t xml:space="preserve"> (except for the information furnished under Item 7.01 therein and Exhibit 99.1 thereto), </w:t>
      </w:r>
      <w:hyperlink r:id="rId25">
        <w:r>
          <w:rPr>
            <w:rStyle w:val="InternetLink"/>
          </w:rPr>
          <w:t>July 28, 2026</w:t>
        </w:r>
      </w:hyperlink>
      <w:r>
        <w:rPr>
          <w:rFonts w:ascii="Times New Roman;Times;serif" w:hAnsi="Times New Roman;Times;serif"/>
          <w:b w:val="false"/>
          <w:i w:val="false"/>
          <w:caps w:val="false"/>
          <w:smallCaps w:val="false"/>
          <w:color w:val="000000"/>
          <w:spacing w:val="4"/>
          <w:sz w:val="20"/>
        </w:rPr>
        <w:t xml:space="preserve"> (except for the information furnished under Items 2.02 and 7.01 therein), </w:t>
      </w:r>
      <w:hyperlink r:id="rId26">
        <w:r>
          <w:rPr>
            <w:rStyle w:val="InternetLink"/>
          </w:rPr>
          <w:t>July 30, 2026</w:t>
        </w:r>
      </w:hyperlink>
      <w:r>
        <w:rPr>
          <w:rFonts w:ascii="Times New Roman;Times;serif" w:hAnsi="Times New Roman;Times;serif"/>
          <w:b w:val="false"/>
          <w:i w:val="false"/>
          <w:caps w:val="false"/>
          <w:smallCaps w:val="false"/>
          <w:color w:val="000000"/>
          <w:spacing w:val="4"/>
          <w:sz w:val="20"/>
        </w:rPr>
        <w:t xml:space="preserve"> and </w:t>
      </w:r>
      <w:hyperlink r:id="rId27">
        <w:r>
          <w:rPr>
            <w:rStyle w:val="InternetLink"/>
          </w:rPr>
          <w:t>August 13, 2026</w:t>
        </w:r>
      </w:hyperlink>
      <w:r>
        <w:rPr>
          <w:rFonts w:ascii="Times New Roman;Times;serif" w:hAnsi="Times New Roman;Times;serif"/>
          <w:b w:val="false"/>
          <w:i w:val="false"/>
          <w:caps w:val="false"/>
          <w:smallCaps w:val="false"/>
          <w:color w:val="000000"/>
          <w:spacing w:val="4"/>
          <w:sz w:val="20"/>
        </w:rPr>
        <w:t xml:space="preserve"> (except for the information furnished under Items 2.02 and 7.01 therein); and </w:t>
      </w:r>
      <w:r>
        <mc:AlternateContent>
          <mc:Choice Requires="wps">
            <w:drawing>
              <wp:anchor behindDoc="0" distT="7620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05"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our common stock contained in </w:t>
      </w:r>
      <w:hyperlink r:id="rId28">
        <w:r>
          <w:rPr>
            <w:rStyle w:val="InternetLink"/>
          </w:rPr>
          <w:t>Exhibit 4.1</w:t>
        </w:r>
      </w:hyperlink>
      <w:r>
        <w:rPr>
          <w:rFonts w:ascii="Times New Roman;Times;serif" w:hAnsi="Times New Roman;Times;serif"/>
          <w:b w:val="false"/>
          <w:i w:val="false"/>
          <w:caps w:val="false"/>
          <w:smallCaps w:val="false"/>
          <w:color w:val="000000"/>
          <w:spacing w:val="4"/>
          <w:sz w:val="20"/>
        </w:rPr>
        <w:t xml:space="preserve"> to our Annual Report on Form 10-K filed with the SEC on March 14, 2023, including any amendments or reports filed for the purpose of updating such description. </w:t>
      </w:r>
      <w:r>
        <mc:AlternateContent>
          <mc:Choice Requires="wps">
            <w:drawing>
              <wp:anchor behindDoc="0" distT="7620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06"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all documents we subsequently file with the SEC pursuant to Sections 13(a), 13(c), 14 and 15(d) of the Exchange Act, until the offering of the securities offered hereby is terminated or completed, shall be deemed to be incorporated by reference in this prospectus and the accompanying base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specifically stated to the contrary, none of the information that we disclose under Items 2.02 or 7.01 of any Current Report on Form 8-K that we may from time to time furnish to the SEC will be incorporated by reference into, or otherwise included in,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furnish to you, regardless of whether you are a beneficial owner, at no cost, upon written or oral request, a copy of all of the documents that have been incorporated by reference in this prospectus and the accompanying base prospectus, other than the exhibits to such documents unless the exhibits are specifically incorporated by reference but not delivered with this prospectus. Requests should be directed to: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Yarrow Bioscience,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Attn: Corporate Secretary</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470 James Street, Suite 007</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New Haven, CT 06513</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(203) 433-7577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should rely only on the information incorporated by reference or provided in this prospectus and the accompanying base prospectus. We have not authorized anyone else to provide you with different information. You should not assume that the information in this prospectus and the accompanying base prospectus is accurate as of any date other than the date on the front page of those documents.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56"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1385" w:after="283"/>
        <w:jc w:val="center"/>
        <w:rPr>
          <w:caps w:val="false"/>
          <w:smallCaps w:val="false"/>
          <w:color w:val="000000"/>
        </w:rPr>
      </w:pPr>
      <w:r>
        <w:rPr>
          <w:caps w:val="false"/>
          <w:smallCaps w:val="false"/>
          <w:color w:val="000000"/>
        </w:rPr>
        <w:drawing>
          <wp:inline distT="0" distB="0" distL="0" distR="0">
            <wp:extent cx="3009900" cy="1028700"/>
            <wp:effectExtent l="0" t="0" r="0" b="0"/>
            <wp:docPr id="10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4" descr=""/>
                    <pic:cNvPicPr>
                      <a:picLocks noChangeAspect="1" noChangeArrowheads="1"/>
                    </pic:cNvPicPr>
                  </pic:nvPicPr>
                  <pic:blipFill>
                    <a:blip r:embed="rId29"/>
                    <a:stretch>
                      <a:fillRect/>
                    </a:stretch>
                  </pic:blipFill>
                  <pic:spPr bwMode="auto">
                    <a:xfrm>
                      <a:off x="0" y="0"/>
                      <a:ext cx="3009900" cy="1028700"/>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1077"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Up to $50,000,000</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400" w:before="24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Yarrow Bioscience, Inc.</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Common Stock</w:t>
      </w:r>
      <w:r>
        <w:rPr>
          <w:rFonts w:ascii="Times New Roman;Times;serif" w:hAnsi="Times New Roman;Times;serif"/>
          <w:b/>
          <w:i w:val="false"/>
          <w:caps w:val="false"/>
          <w:smallCaps w:val="false"/>
          <w:color w:val="000000"/>
          <w:spacing w:val="6"/>
          <w:sz w:val="28"/>
        </w:rPr>
        <w:t xml:space="preserve"> </w:t>
      </w:r>
    </w:p>
    <w:p>
      <w:pPr>
        <w:pStyle w:val="TextBody"/>
        <w:bidi w:val="0"/>
        <w:spacing w:before="1423"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80" w:before="30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PROSPECTUS</w:t>
      </w:r>
      <w:r>
        <w:rPr>
          <w:rFonts w:ascii="Times New Roman;Times;serif" w:hAnsi="Times New Roman;Times;serif"/>
          <w:b/>
          <w:i w:val="false"/>
          <w:caps w:val="false"/>
          <w:smallCaps w:val="false"/>
          <w:color w:val="000000"/>
          <w:spacing w:val="5"/>
          <w:sz w:val="24"/>
        </w:rPr>
        <w:t xml:space="preserve"> </w:t>
      </w:r>
    </w:p>
    <w:p>
      <w:pPr>
        <w:pStyle w:val="TextBody"/>
        <w:bidi w:val="0"/>
        <w:spacing w:before="257"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400" w:before="968"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TD Cowen</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240" w:before="2880" w:after="283"/>
        <w:jc w:val="center"/>
        <w:rPr>
          <w:caps w:val="false"/>
          <w:smallCaps w:val="false"/>
          <w:color w:val="000000"/>
        </w:rPr>
      </w:pPr>
      <w:r>
        <w:rPr>
          <w:caps w:val="false"/>
          <w:smallCaps w:val="false"/>
          <w:color w:val="000000"/>
          <w:spacing w:val="-4"/>
        </w:rPr>
        <w:t>           </w:t>
      </w:r>
      <w:r>
        <w:rPr>
          <w:caps w:val="false"/>
          <w:smallCaps w:val="false"/>
          <w:color w:val="000000"/>
          <w:spacing w:val="4"/>
        </w:rPr>
        <w:t xml:space="preserve"> </w:t>
      </w:r>
      <w:r>
        <w:rPr>
          <w:rFonts w:ascii="Times New Roman;Times;serif" w:hAnsi="Times New Roman;Times;serif"/>
          <w:b w:val="false"/>
          <w:i w:val="false"/>
          <w:caps w:val="false"/>
          <w:smallCaps w:val="false"/>
          <w:color w:val="000000"/>
          <w:spacing w:val="4"/>
          <w:sz w:val="20"/>
        </w:rPr>
        <w:t xml:space="preserve">, 2026 </w:t>
      </w:r>
    </w:p>
    <w:p>
      <w:pPr>
        <w:pStyle w:val="TextBody"/>
        <w:bidi w:val="0"/>
        <w:spacing w:before="1603"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56"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PART II</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INFORMATION NOT REQUIRED IN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14.   Other Expenses of Issuance and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expenses relating to the registration of the securities will be borne by the Registrant. The following expenses, with the exception of the Securities and Exchange Commission registration fee, are estimates: </w:t>
      </w:r>
    </w:p>
    <w:tbl>
      <w:tblPr>
        <w:tblW w:w="5609" w:type="dxa"/>
        <w:jc w:val="left"/>
        <w:tblInd w:w="1393" w:type="dxa"/>
        <w:tblLayout w:type="fixed"/>
        <w:tblCellMar>
          <w:top w:w="0" w:type="dxa"/>
          <w:left w:w="0" w:type="dxa"/>
          <w:bottom w:w="0" w:type="dxa"/>
          <w:right w:w="0" w:type="dxa"/>
        </w:tblCellMar>
      </w:tblPr>
      <w:tblGrid>
        <w:gridCol w:w="124"/>
        <w:gridCol w:w="3378"/>
        <w:gridCol w:w="109"/>
        <w:gridCol w:w="109"/>
        <w:gridCol w:w="109"/>
        <w:gridCol w:w="226"/>
        <w:gridCol w:w="1291"/>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3378" w:type="dxa"/>
            <w:tcBorders/>
            <w:shd w:fill="CCEEFF" w:val="clear"/>
            <w:vAlign w:val="center"/>
          </w:tcPr>
          <w:p>
            <w:pPr>
              <w:pStyle w:val="TableContents"/>
              <w:bidi w:val="0"/>
              <w:spacing w:before="0" w:after="0"/>
              <w:jc w:val="left"/>
              <w:rPr>
                <w:spacing w:val="4"/>
              </w:rPr>
            </w:pPr>
            <w:r>
              <w:rPr>
                <w:spacing w:val="4"/>
              </w:rPr>
              <w:t xml:space="preserve">SEC registration fee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291" w:type="dxa"/>
            <w:tcBorders/>
            <w:shd w:fill="CCEEFF" w:val="clear"/>
            <w:vAlign w:val="center"/>
          </w:tcPr>
          <w:p>
            <w:pPr>
              <w:pStyle w:val="TableContents"/>
              <w:bidi w:val="0"/>
              <w:spacing w:before="0" w:after="283"/>
              <w:jc w:val="right"/>
              <w:rPr/>
            </w:pPr>
            <w:r>
              <w:rPr/>
              <w:t>29,421.46</w:t>
            </w:r>
            <w:r>
              <w:rPr>
                <w:sz w:val="13"/>
              </w:rPr>
              <w:t>(1)</w:t>
            </w:r>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378" w:type="dxa"/>
            <w:tcBorders/>
            <w:vAlign w:val="center"/>
          </w:tcPr>
          <w:p>
            <w:pPr>
              <w:pStyle w:val="TableContents"/>
              <w:bidi w:val="0"/>
              <w:spacing w:before="0" w:after="0"/>
              <w:jc w:val="left"/>
              <w:rPr>
                <w:spacing w:val="4"/>
              </w:rPr>
            </w:pPr>
            <w:r>
              <w:rPr>
                <w:spacing w:val="4"/>
              </w:rPr>
              <w:t xml:space="preserve">FINRA filing fee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291" w:type="dxa"/>
            <w:tcBorders/>
            <w:vAlign w:val="center"/>
          </w:tcPr>
          <w:p>
            <w:pPr>
              <w:pStyle w:val="TableContents"/>
              <w:bidi w:val="0"/>
              <w:spacing w:before="0" w:after="283"/>
              <w:jc w:val="right"/>
              <w:rPr/>
            </w:pPr>
            <w:r>
              <w:rPr/>
              <w:t>38,000</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3378" w:type="dxa"/>
            <w:tcBorders/>
            <w:shd w:fill="CCEEFF" w:val="clear"/>
            <w:vAlign w:val="center"/>
          </w:tcPr>
          <w:p>
            <w:pPr>
              <w:pStyle w:val="TableContents"/>
              <w:bidi w:val="0"/>
              <w:spacing w:before="0" w:after="0"/>
              <w:jc w:val="left"/>
              <w:rPr>
                <w:spacing w:val="4"/>
              </w:rPr>
            </w:pPr>
            <w:r>
              <w:rPr>
                <w:spacing w:val="4"/>
              </w:rPr>
              <w:t xml:space="preserve">Legal fees and expenses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291" w:type="dxa"/>
            <w:tcBorders/>
            <w:shd w:fill="CCEEFF" w:val="clear"/>
            <w:vAlign w:val="center"/>
          </w:tcPr>
          <w:p>
            <w:pPr>
              <w:pStyle w:val="TableContents"/>
              <w:bidi w:val="0"/>
              <w:spacing w:before="0" w:after="283"/>
              <w:jc w:val="right"/>
              <w:rPr/>
            </w:pPr>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378" w:type="dxa"/>
            <w:tcBorders/>
            <w:vAlign w:val="center"/>
          </w:tcPr>
          <w:p>
            <w:pPr>
              <w:pStyle w:val="TableContents"/>
              <w:bidi w:val="0"/>
              <w:spacing w:before="0" w:after="0"/>
              <w:jc w:val="left"/>
              <w:rPr>
                <w:spacing w:val="4"/>
              </w:rPr>
            </w:pPr>
            <w:r>
              <w:rPr>
                <w:spacing w:val="4"/>
              </w:rPr>
              <w:t xml:space="preserve">Accounting fees and expenses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291" w:type="dxa"/>
            <w:tcBorders/>
            <w:vAlign w:val="center"/>
          </w:tcPr>
          <w:p>
            <w:pPr>
              <w:pStyle w:val="TableContents"/>
              <w:bidi w:val="0"/>
              <w:spacing w:before="0" w:after="283"/>
              <w:jc w:val="right"/>
              <w:rPr/>
            </w:pP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3378" w:type="dxa"/>
            <w:tcBorders/>
            <w:shd w:fill="CCEEFF" w:val="clear"/>
            <w:vAlign w:val="center"/>
          </w:tcPr>
          <w:p>
            <w:pPr>
              <w:pStyle w:val="TableContents"/>
              <w:bidi w:val="0"/>
              <w:spacing w:before="0" w:after="0"/>
              <w:jc w:val="left"/>
              <w:rPr>
                <w:spacing w:val="4"/>
              </w:rPr>
            </w:pPr>
            <w:r>
              <w:rPr>
                <w:spacing w:val="4"/>
              </w:rPr>
              <w:t xml:space="preserve">Transfer agent fees and expenses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291" w:type="dxa"/>
            <w:tcBorders/>
            <w:shd w:fill="CCEEFF" w:val="clear"/>
            <w:vAlign w:val="center"/>
          </w:tcPr>
          <w:p>
            <w:pPr>
              <w:pStyle w:val="TableContents"/>
              <w:bidi w:val="0"/>
              <w:spacing w:before="0" w:after="283"/>
              <w:jc w:val="right"/>
              <w:rPr/>
            </w:pPr>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378" w:type="dxa"/>
            <w:tcBorders/>
            <w:vAlign w:val="center"/>
          </w:tcPr>
          <w:p>
            <w:pPr>
              <w:pStyle w:val="TableContents"/>
              <w:bidi w:val="0"/>
              <w:spacing w:before="0" w:after="0"/>
              <w:jc w:val="left"/>
              <w:rPr>
                <w:spacing w:val="4"/>
              </w:rPr>
            </w:pPr>
            <w:r>
              <w:rPr>
                <w:spacing w:val="4"/>
              </w:rPr>
              <w:t xml:space="preserve">Printing and engraving costs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291" w:type="dxa"/>
            <w:tcBorders/>
            <w:vAlign w:val="center"/>
          </w:tcPr>
          <w:p>
            <w:pPr>
              <w:pStyle w:val="TableContents"/>
              <w:bidi w:val="0"/>
              <w:spacing w:before="0" w:after="283"/>
              <w:jc w:val="right"/>
              <w:rPr/>
            </w:pP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3378"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Miscellaneous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91"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378" w:type="dxa"/>
            <w:tcBorders/>
            <w:vAlign w:val="center"/>
          </w:tcPr>
          <w:p>
            <w:pPr>
              <w:pStyle w:val="TableContents"/>
              <w:bidi w:val="0"/>
              <w:spacing w:before="0" w:after="0"/>
              <w:jc w:val="left"/>
              <w:rPr>
                <w:spacing w:val="4"/>
              </w:rPr>
            </w:pPr>
            <w:r>
              <w:rPr>
                <w:spacing w:val="4"/>
              </w:rPr>
              <w:t xml:space="preserve">Total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291" w:type="dxa"/>
            <w:tcBorders>
              <w:bottom w:val="double" w:sz="8" w:space="0" w:color="000000"/>
            </w:tcBorders>
            <w:tcMar>
              <w:bottom w:w="50" w:type="dxa"/>
            </w:tcMar>
            <w:vAlign w:val="center"/>
          </w:tcPr>
          <w:p>
            <w:pPr>
              <w:pStyle w:val="TableContents"/>
              <w:bidi w:val="0"/>
              <w:spacing w:before="0" w:after="283"/>
              <w:jc w:val="right"/>
              <w:rPr/>
            </w:pP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Rule 415(a)(6) under the Securities Act, the filing fee previously paid in connection with the securities registered in the registration statement on Form S-3 (File No. 333-277609), all of which remain unsold, will continue to be applied to the securities registered under this Registration Statement. Please see the registration fee table contained in Exhibit 107 to this registration statement for more information. </w:t>
      </w:r>
      <w:r>
        <mc:AlternateContent>
          <mc:Choice Requires="wps">
            <w:drawing>
              <wp:anchor behindDoc="0" distT="102870" distB="0" distL="0" distR="0" simplePos="0" locked="0" layoutInCell="1" allowOverlap="1" relativeHeight="115">
                <wp:simplePos x="0" y="0"/>
                <wp:positionH relativeFrom="column">
                  <wp:align>left</wp:align>
                </wp:positionH>
                <wp:positionV relativeFrom="line">
                  <wp:align>top</wp:align>
                </wp:positionV>
                <wp:extent cx="254000" cy="350520"/>
                <wp:effectExtent l="0" t="0" r="0" b="0"/>
                <wp:wrapSquare wrapText="right"/>
                <wp:docPr id="108" name="Frame1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Estimated expenses not presently known. The applicable prospectus supplement will set forth the estimated aggregate expenses incurred in connection with the sale and distribution of the securities being offered and sold pursuant to this registration statement. </w:t>
      </w:r>
      <w:r>
        <mc:AlternateContent>
          <mc:Choice Requires="wps">
            <w:drawing>
              <wp:anchor behindDoc="0" distT="52070" distB="0" distL="0" distR="0" simplePos="0" locked="0" layoutInCell="1" allowOverlap="1" relativeHeight="116">
                <wp:simplePos x="0" y="0"/>
                <wp:positionH relativeFrom="column">
                  <wp:align>left</wp:align>
                </wp:positionH>
                <wp:positionV relativeFrom="line">
                  <wp:align>top</wp:align>
                </wp:positionV>
                <wp:extent cx="254000" cy="350520"/>
                <wp:effectExtent l="0" t="0" r="0" b="0"/>
                <wp:wrapSquare wrapText="right"/>
                <wp:docPr id="109" name="Frame1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15.   Indemnification of Directors and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permitted by Section 102 of the Delaware General Corporation Law, our Certificate of Incorporation and Bylaws limit or eliminate the personal liability of each of our directors for a breach of his or her fiduciary duty of care as a director. The duty of care generally requires that, when acting on behalf of the corporation, directors exercise an informed business judgment based on all material information reasonably available to them. Consequently, a director will not be personally liable to us or our stockholders for monetary damages for breach of fiduciary duty as a director, except for liability for: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breach of the director’s duty of loyalty to us or our stockholders; </w:t>
      </w:r>
      <w:r>
        <mc:AlternateContent>
          <mc:Choice Requires="wps">
            <w:drawing>
              <wp:anchor behindDoc="0" distT="7747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0"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act or omission not in good faith or that involves intentional misconduct or a knowing violation of law; </w:t>
      </w:r>
      <w:r>
        <mc:AlternateContent>
          <mc:Choice Requires="wps">
            <w:drawing>
              <wp:anchor behindDoc="0" distT="7747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1"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act related to unlawful stock repurchases, redemptions or other distributions or payment of dividends; or </w:t>
      </w:r>
      <w:r>
        <mc:AlternateContent>
          <mc:Choice Requires="wps">
            <w:drawing>
              <wp:anchor behindDoc="0" distT="7747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2"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transaction from which the director derived an improper personal benefit. </w:t>
      </w:r>
      <w:r>
        <mc:AlternateContent>
          <mc:Choice Requires="wps">
            <w:drawing>
              <wp:anchor behindDoc="0" distT="7747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3"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limitations of liability do not affect the availability of equitable remedies such as injunctive relief or rescission. Our Certificate of Incorporation also authorizes us to indemnify our officers, directors and other agents to the fullest extent permitted under Delaware law.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permitted by Section 145 of the Delaware General Corporation Law, our Bylaws provide that: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shall indemnify our directors and officers, and may indemnify our employees or agents to the fullest extent permitted by the Delaware General Corporation Law, subject to limited exceptions; </w:t>
      </w:r>
      <w:r>
        <mc:AlternateContent>
          <mc:Choice Requires="wps">
            <w:drawing>
              <wp:anchor behindDoc="0" distT="7620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4"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shall advance expenses to our directors and officers, and may advance expenses to our employees and agents in connection with a legal proceeding to the fullest extent permitted by the Delaware General Corporation Law, subject to limited exceptions; and </w:t>
      </w:r>
      <w:r>
        <mc:AlternateContent>
          <mc:Choice Requires="wps">
            <w:drawing>
              <wp:anchor behindDoc="0" distT="7620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15"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5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rights provided in our Bylaws are not exclusive. </w:t>
      </w:r>
      <w:r>
        <mc:AlternateContent>
          <mc:Choice Requires="wps">
            <w:drawing>
              <wp:anchor behindDoc="0" distT="0" distB="0" distL="254000" distR="0" simplePos="0" locked="0" layoutInCell="1" allowOverlap="1" relativeHeight="123">
                <wp:simplePos x="0" y="0"/>
                <wp:positionH relativeFrom="column">
                  <wp:align>left</wp:align>
                </wp:positionH>
                <wp:positionV relativeFrom="line">
                  <wp:posOffset>635</wp:posOffset>
                </wp:positionV>
                <wp:extent cx="127000" cy="350520"/>
                <wp:effectExtent l="0" t="0" r="0" b="0"/>
                <wp:wrapSquare wrapText="right"/>
                <wp:docPr id="116"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attached as an exhibit hereto, and our Bylaws, attached as an exhibit hereto, provide for the indemnification provisions described above and elsewhere herein. We have entered into separate indemnification agreements with our directors and officers which may be broader than the specific indemnification provisions contained in the Delaware General Corporation Law. These indemnification agreements generally require us, among other things, to indemnify our officers and directors against liabilities that may arise by reason of their status or service as directors or officers, other than liabilities arising from unlawful conduct. These indemnification agreements also generally require us to advance any expenses incurred by the directors or officers as a result of any proceeding against them as to which they could be indemnified. In addition, we have purchased a policy of directors’ and officers’ liability insurance that insures our directors and officers against the cost of defense, settlement or payment of a judgment in some circumstances. These indemnification provisions and the indemnification agreements may be sufficiently broad to permit indemnification of our officers and directors for liabilities, including reimbursement of expenses incurred, arising under the Securities Act.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16.   Exhibits.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124"/>
        <w:gridCol w:w="1141"/>
        <w:gridCol w:w="109"/>
        <w:gridCol w:w="109"/>
        <w:gridCol w:w="1798"/>
        <w:gridCol w:w="109"/>
        <w:gridCol w:w="109"/>
        <w:gridCol w:w="787"/>
        <w:gridCol w:w="109"/>
        <w:gridCol w:w="109"/>
        <w:gridCol w:w="1141"/>
        <w:gridCol w:w="109"/>
        <w:gridCol w:w="109"/>
        <w:gridCol w:w="1063"/>
        <w:gridCol w:w="109"/>
        <w:gridCol w:w="109"/>
        <w:gridCol w:w="1510"/>
        <w:gridCol w:w="158"/>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14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9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155" w:type="dxa"/>
            <w:gridSpan w:val="10"/>
            <w:tcBorders>
              <w:bottom w:val="single" w:sz="2" w:space="0" w:color="000000"/>
            </w:tcBorders>
            <w:tcMar>
              <w:bottom w:w="30" w:type="dxa"/>
            </w:tcMar>
            <w:vAlign w:val="center"/>
          </w:tcPr>
          <w:p>
            <w:pPr>
              <w:pStyle w:val="TableContents"/>
              <w:bidi w:val="0"/>
              <w:spacing w:before="0" w:after="0"/>
              <w:jc w:val="center"/>
              <w:rPr>
                <w:spacing w:val="-3"/>
              </w:rPr>
            </w:pPr>
            <w:r>
              <w:rPr>
                <w:spacing w:val="-3"/>
              </w:rPr>
              <w:t xml:space="preserve">INCORPORATED BY REFERENCE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1141" w:type="dxa"/>
            <w:tcBorders>
              <w:bottom w:val="single" w:sz="2" w:space="0" w:color="000000"/>
            </w:tcBorders>
            <w:vAlign w:val="center"/>
          </w:tcPr>
          <w:p>
            <w:pPr>
              <w:pStyle w:val="TableContents"/>
              <w:bidi w:val="0"/>
              <w:spacing w:before="0" w:after="0"/>
              <w:jc w:val="center"/>
              <w:rPr/>
            </w:pPr>
            <w:r>
              <w:rPr>
                <w:spacing w:val="-3"/>
              </w:rPr>
              <w:t>EXHIBIT</w:t>
            </w:r>
            <w:r>
              <w:rPr/>
              <w:t xml:space="preserve"> </w:t>
              <w:br/>
            </w:r>
            <w:r>
              <w:rPr>
                <w:spacing w:val="-3"/>
              </w:rPr>
              <w:t xml:space="preserve">NUMBER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98" w:type="dxa"/>
            <w:tcBorders>
              <w:bottom w:val="single" w:sz="2" w:space="0" w:color="000000"/>
            </w:tcBorders>
            <w:vAlign w:val="center"/>
          </w:tcPr>
          <w:p>
            <w:pPr>
              <w:pStyle w:val="TableContents"/>
              <w:bidi w:val="0"/>
              <w:spacing w:before="0" w:after="0"/>
              <w:jc w:val="center"/>
              <w:rPr>
                <w:spacing w:val="-3"/>
              </w:rPr>
            </w:pPr>
            <w:r>
              <w:rPr>
                <w:spacing w:val="-3"/>
              </w:rPr>
              <w:t xml:space="preserve">DESCRIPTION OF EXHIBIT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87" w:type="dxa"/>
            <w:tcBorders>
              <w:bottom w:val="single" w:sz="2" w:space="0" w:color="000000"/>
            </w:tcBorders>
            <w:vAlign w:val="center"/>
          </w:tcPr>
          <w:p>
            <w:pPr>
              <w:pStyle w:val="TableContents"/>
              <w:bidi w:val="0"/>
              <w:spacing w:before="0" w:after="0"/>
              <w:jc w:val="center"/>
              <w:rPr>
                <w:spacing w:val="-3"/>
              </w:rPr>
            </w:pPr>
            <w:r>
              <w:rPr>
                <w:spacing w:val="-3"/>
              </w:rPr>
              <w:t xml:space="preserve">FORM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41" w:type="dxa"/>
            <w:tcBorders>
              <w:bottom w:val="single" w:sz="2" w:space="0" w:color="000000"/>
            </w:tcBorders>
            <w:vAlign w:val="center"/>
          </w:tcPr>
          <w:p>
            <w:pPr>
              <w:pStyle w:val="TableContents"/>
              <w:bidi w:val="0"/>
              <w:spacing w:before="0" w:after="0"/>
              <w:jc w:val="center"/>
              <w:rPr/>
            </w:pPr>
            <w:r>
              <w:rPr>
                <w:spacing w:val="-3"/>
              </w:rPr>
              <w:t>FILE</w:t>
            </w:r>
            <w:r>
              <w:rPr/>
              <w:t xml:space="preserve"> </w:t>
              <w:br/>
            </w:r>
            <w:r>
              <w:rPr>
                <w:spacing w:val="-3"/>
              </w:rPr>
              <w:t xml:space="preserve">NUMBER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63" w:type="dxa"/>
            <w:tcBorders>
              <w:bottom w:val="single" w:sz="2" w:space="0" w:color="000000"/>
            </w:tcBorders>
            <w:vAlign w:val="center"/>
          </w:tcPr>
          <w:p>
            <w:pPr>
              <w:pStyle w:val="TableContents"/>
              <w:bidi w:val="0"/>
              <w:spacing w:before="0" w:after="0"/>
              <w:jc w:val="center"/>
              <w:rPr>
                <w:spacing w:val="-3"/>
              </w:rPr>
            </w:pPr>
            <w:r>
              <w:rPr>
                <w:spacing w:val="-3"/>
              </w:rPr>
              <w:t xml:space="preserve">EXHIBIT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tcBorders>
              <w:bottom w:val="single" w:sz="2" w:space="0" w:color="000000"/>
            </w:tcBorders>
            <w:vAlign w:val="center"/>
          </w:tcPr>
          <w:p>
            <w:pPr>
              <w:pStyle w:val="TableContents"/>
              <w:bidi w:val="0"/>
              <w:spacing w:before="0" w:after="0"/>
              <w:jc w:val="center"/>
              <w:rPr>
                <w:spacing w:val="-3"/>
              </w:rPr>
            </w:pPr>
            <w:r>
              <w:rPr>
                <w:spacing w:val="-3"/>
              </w:rPr>
              <w:t xml:space="preserve">FILE DATE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141" w:type="dxa"/>
            <w:tcBorders/>
            <w:tcMar>
              <w:bottom w:w="0" w:type="dxa"/>
            </w:tcMar>
            <w:vAlign w:val="center"/>
          </w:tcPr>
          <w:p>
            <w:pPr>
              <w:pStyle w:val="TableContents"/>
              <w:bidi w:val="0"/>
              <w:spacing w:before="0" w:after="283"/>
              <w:ind w:left="100" w:right="0" w:hanging="0"/>
              <w:jc w:val="left"/>
              <w:rPr/>
            </w:pPr>
            <w:r>
              <w:rPr>
                <w:spacing w:val="4"/>
              </w:rPr>
              <w:t>1.1**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98" w:type="dxa"/>
            <w:tcBorders/>
            <w:tcMar>
              <w:bottom w:w="0" w:type="dxa"/>
            </w:tcMar>
            <w:vAlign w:val="center"/>
          </w:tcPr>
          <w:p>
            <w:pPr>
              <w:pStyle w:val="TableContents"/>
              <w:bidi w:val="0"/>
              <w:spacing w:before="0" w:after="283"/>
              <w:jc w:val="left"/>
              <w:rPr>
                <w:spacing w:val="4"/>
              </w:rPr>
            </w:pPr>
            <w:r>
              <w:rPr>
                <w:spacing w:val="4"/>
              </w:rPr>
              <w:t xml:space="preserve">Form of Underwriting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141" w:type="dxa"/>
            <w:tcBorders/>
            <w:tcMar>
              <w:bottom w:w="0" w:type="dxa"/>
            </w:tcMar>
            <w:vAlign w:val="center"/>
          </w:tcPr>
          <w:p>
            <w:pPr>
              <w:pStyle w:val="TableContents"/>
              <w:bidi w:val="0"/>
              <w:spacing w:before="0" w:after="283"/>
              <w:ind w:left="100" w:right="0" w:hanging="0"/>
              <w:jc w:val="left"/>
              <w:rPr/>
            </w:pPr>
            <w:r>
              <w:rPr>
                <w:spacing w:val="4"/>
              </w:rPr>
              <w:t>1.2*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98" w:type="dxa"/>
            <w:tcBorders/>
            <w:tcMar>
              <w:bottom w:w="0" w:type="dxa"/>
            </w:tcMar>
            <w:vAlign w:val="center"/>
          </w:tcPr>
          <w:p>
            <w:pPr>
              <w:pStyle w:val="TableContents"/>
              <w:bidi w:val="0"/>
              <w:spacing w:before="0" w:after="283"/>
              <w:jc w:val="left"/>
              <w:rPr/>
            </w:pPr>
            <w:hyperlink w:anchor="tm2622891d2_ex1-2.htm">
              <w:r>
                <w:rPr>
                  <w:rStyle w:val="InternetLink"/>
                </w:rPr>
                <w:t>Amended and Restated Sales Agreement, dated August 13, 2026, by and between Yarrow Bioscience, Inc. and TD Securities (USA) LLC</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141" w:type="dxa"/>
            <w:tcBorders/>
            <w:tcMar>
              <w:bottom w:w="0" w:type="dxa"/>
            </w:tcMar>
            <w:vAlign w:val="center"/>
          </w:tcPr>
          <w:p>
            <w:pPr>
              <w:pStyle w:val="TableContents"/>
              <w:bidi w:val="0"/>
              <w:spacing w:before="0" w:after="283"/>
              <w:ind w:left="100" w:right="0" w:hanging="0"/>
              <w:jc w:val="left"/>
              <w:rPr>
                <w:spacing w:val="4"/>
              </w:rPr>
            </w:pPr>
            <w:r>
              <w:rPr>
                <w:spacing w:val="4"/>
              </w:rPr>
              <w:t xml:space="preserve">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98" w:type="dxa"/>
            <w:tcBorders/>
            <w:tcMar>
              <w:bottom w:w="0" w:type="dxa"/>
            </w:tcMar>
            <w:vAlign w:val="center"/>
          </w:tcPr>
          <w:p>
            <w:pPr>
              <w:pStyle w:val="TableContents"/>
              <w:bidi w:val="0"/>
              <w:spacing w:before="0" w:after="0"/>
              <w:jc w:val="left"/>
              <w:rPr/>
            </w:pPr>
            <w:hyperlink r:id="rId30">
              <w:r>
                <w:rPr>
                  <w:rStyle w:val="InternetLink"/>
                  <w:spacing w:val="4"/>
                </w:rPr>
                <w:t>Amended and Restated Certificate of Incorporation of Yarrow Bioscience, Inc.</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 w:type="dxa"/>
            <w:tcBorders/>
            <w:tcMar>
              <w:bottom w:w="0" w:type="dxa"/>
            </w:tcMar>
            <w:vAlign w:val="center"/>
          </w:tcPr>
          <w:p>
            <w:pPr>
              <w:pStyle w:val="TableContents"/>
              <w:bidi w:val="0"/>
              <w:spacing w:before="0" w:after="0"/>
              <w:jc w:val="center"/>
              <w:rPr>
                <w:spacing w:val="4"/>
              </w:rPr>
            </w:pPr>
            <w:r>
              <w:rPr>
                <w:spacing w:val="4"/>
              </w:rPr>
              <w:t xml:space="preserve">8-K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1" w:type="dxa"/>
            <w:tcBorders/>
            <w:tcMar>
              <w:bottom w:w="0" w:type="dxa"/>
            </w:tcMar>
            <w:vAlign w:val="center"/>
          </w:tcPr>
          <w:p>
            <w:pPr>
              <w:pStyle w:val="TableContents"/>
              <w:bidi w:val="0"/>
              <w:spacing w:before="0" w:after="0"/>
              <w:jc w:val="center"/>
              <w:rPr>
                <w:spacing w:val="4"/>
              </w:rPr>
            </w:pPr>
            <w:r>
              <w:rPr>
                <w:spacing w:val="4"/>
              </w:rPr>
              <w:t xml:space="preserve">001-38356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3" w:type="dxa"/>
            <w:tcBorders/>
            <w:tcMar>
              <w:bottom w:w="0" w:type="dxa"/>
            </w:tcMar>
            <w:vAlign w:val="center"/>
          </w:tcPr>
          <w:p>
            <w:pPr>
              <w:pStyle w:val="TableContents"/>
              <w:bidi w:val="0"/>
              <w:spacing w:before="0" w:after="0"/>
              <w:jc w:val="center"/>
              <w:rPr>
                <w:spacing w:val="4"/>
              </w:rPr>
            </w:pPr>
            <w:r>
              <w:rPr>
                <w:spacing w:val="4"/>
              </w:rPr>
              <w:t xml:space="preserve">3.4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0" w:type="dxa"/>
            <w:tcBorders/>
            <w:tcMar>
              <w:bottom w:w="0" w:type="dxa"/>
            </w:tcMar>
            <w:vAlign w:val="center"/>
          </w:tcPr>
          <w:p>
            <w:pPr>
              <w:pStyle w:val="TableContents"/>
              <w:bidi w:val="0"/>
              <w:spacing w:before="0" w:after="0"/>
              <w:jc w:val="center"/>
              <w:rPr>
                <w:spacing w:val="4"/>
              </w:rPr>
            </w:pPr>
            <w:r>
              <w:rPr>
                <w:spacing w:val="4"/>
              </w:rPr>
              <w:t xml:space="preserve">July 28, 2026 </w:t>
            </w:r>
          </w:p>
        </w:tc>
        <w:tc>
          <w:tcPr>
            <w:tcW w:w="158"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141" w:type="dxa"/>
            <w:tcBorders/>
            <w:tcMar>
              <w:bottom w:w="0" w:type="dxa"/>
            </w:tcMar>
            <w:vAlign w:val="center"/>
          </w:tcPr>
          <w:p>
            <w:pPr>
              <w:pStyle w:val="TableContents"/>
              <w:bidi w:val="0"/>
              <w:spacing w:before="0" w:after="283"/>
              <w:ind w:left="100" w:right="0" w:hanging="0"/>
              <w:jc w:val="left"/>
              <w:rPr>
                <w:spacing w:val="4"/>
              </w:rPr>
            </w:pPr>
            <w:r>
              <w:rPr>
                <w:spacing w:val="4"/>
              </w:rPr>
              <w:t xml:space="preserve">4.2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98" w:type="dxa"/>
            <w:tcBorders/>
            <w:tcMar>
              <w:bottom w:w="0" w:type="dxa"/>
            </w:tcMar>
            <w:vAlign w:val="center"/>
          </w:tcPr>
          <w:p>
            <w:pPr>
              <w:pStyle w:val="TableContents"/>
              <w:bidi w:val="0"/>
              <w:spacing w:before="0" w:after="0"/>
              <w:jc w:val="left"/>
              <w:rPr/>
            </w:pPr>
            <w:hyperlink r:id="rId31">
              <w:r>
                <w:rPr>
                  <w:rStyle w:val="InternetLink"/>
                  <w:spacing w:val="4"/>
                </w:rPr>
                <w:t>Certificate of Designation of Preferences, Rights, and Limitations of Series A Convertible Preferred Stock</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 w:type="dxa"/>
            <w:tcBorders/>
            <w:tcMar>
              <w:bottom w:w="0" w:type="dxa"/>
            </w:tcMar>
            <w:vAlign w:val="center"/>
          </w:tcPr>
          <w:p>
            <w:pPr>
              <w:pStyle w:val="TableContents"/>
              <w:bidi w:val="0"/>
              <w:spacing w:before="0" w:after="0"/>
              <w:jc w:val="center"/>
              <w:rPr>
                <w:spacing w:val="4"/>
              </w:rPr>
            </w:pPr>
            <w:r>
              <w:rPr>
                <w:spacing w:val="4"/>
              </w:rPr>
              <w:t xml:space="preserve">10-Q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1" w:type="dxa"/>
            <w:tcBorders/>
            <w:tcMar>
              <w:bottom w:w="0" w:type="dxa"/>
            </w:tcMar>
            <w:vAlign w:val="center"/>
          </w:tcPr>
          <w:p>
            <w:pPr>
              <w:pStyle w:val="TableContents"/>
              <w:bidi w:val="0"/>
              <w:spacing w:before="0" w:after="0"/>
              <w:jc w:val="center"/>
              <w:rPr>
                <w:spacing w:val="4"/>
              </w:rPr>
            </w:pPr>
            <w:r>
              <w:rPr>
                <w:spacing w:val="4"/>
              </w:rPr>
              <w:t xml:space="preserve">001-38356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3" w:type="dxa"/>
            <w:tcBorders/>
            <w:tcMar>
              <w:bottom w:w="0" w:type="dxa"/>
            </w:tcMar>
            <w:vAlign w:val="center"/>
          </w:tcPr>
          <w:p>
            <w:pPr>
              <w:pStyle w:val="TableContents"/>
              <w:bidi w:val="0"/>
              <w:spacing w:before="0" w:after="0"/>
              <w:jc w:val="center"/>
              <w:rPr>
                <w:spacing w:val="4"/>
              </w:rPr>
            </w:pPr>
            <w:r>
              <w:rPr>
                <w:spacing w:val="4"/>
              </w:rPr>
              <w:t xml:space="preserve">3.1(b)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0" w:type="dxa"/>
            <w:tcBorders/>
            <w:tcMar>
              <w:bottom w:w="0" w:type="dxa"/>
            </w:tcMar>
            <w:vAlign w:val="center"/>
          </w:tcPr>
          <w:p>
            <w:pPr>
              <w:pStyle w:val="TableContents"/>
              <w:bidi w:val="0"/>
              <w:spacing w:before="0" w:after="0"/>
              <w:jc w:val="center"/>
              <w:rPr>
                <w:spacing w:val="4"/>
              </w:rPr>
            </w:pPr>
            <w:r>
              <w:rPr>
                <w:spacing w:val="4"/>
              </w:rPr>
              <w:t xml:space="preserve">November 14, 2022 </w:t>
            </w:r>
          </w:p>
        </w:tc>
        <w:tc>
          <w:tcPr>
            <w:tcW w:w="158"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141" w:type="dxa"/>
            <w:tcBorders/>
            <w:tcMar>
              <w:bottom w:w="0" w:type="dxa"/>
            </w:tcMar>
            <w:vAlign w:val="center"/>
          </w:tcPr>
          <w:p>
            <w:pPr>
              <w:pStyle w:val="TableContents"/>
              <w:bidi w:val="0"/>
              <w:spacing w:before="0" w:after="283"/>
              <w:ind w:left="100" w:right="0" w:hanging="0"/>
              <w:jc w:val="left"/>
              <w:rPr>
                <w:spacing w:val="4"/>
              </w:rPr>
            </w:pPr>
            <w:r>
              <w:rPr>
                <w:spacing w:val="4"/>
              </w:rPr>
              <w:t xml:space="preserve">4.3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98" w:type="dxa"/>
            <w:tcBorders/>
            <w:tcMar>
              <w:bottom w:w="0" w:type="dxa"/>
            </w:tcMar>
            <w:vAlign w:val="center"/>
          </w:tcPr>
          <w:p>
            <w:pPr>
              <w:pStyle w:val="TableContents"/>
              <w:bidi w:val="0"/>
              <w:spacing w:before="0" w:after="0"/>
              <w:jc w:val="left"/>
              <w:rPr/>
            </w:pPr>
            <w:hyperlink r:id="rId32">
              <w:r>
                <w:rPr>
                  <w:rStyle w:val="InternetLink"/>
                  <w:spacing w:val="4"/>
                </w:rPr>
                <w:t>Certificate of Elimination</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 w:type="dxa"/>
            <w:tcBorders/>
            <w:tcMar>
              <w:bottom w:w="0" w:type="dxa"/>
            </w:tcMar>
            <w:vAlign w:val="center"/>
          </w:tcPr>
          <w:p>
            <w:pPr>
              <w:pStyle w:val="TableContents"/>
              <w:bidi w:val="0"/>
              <w:spacing w:before="0" w:after="0"/>
              <w:jc w:val="center"/>
              <w:rPr>
                <w:spacing w:val="4"/>
              </w:rPr>
            </w:pPr>
            <w:r>
              <w:rPr>
                <w:spacing w:val="4"/>
              </w:rPr>
              <w:t xml:space="preserve">8-K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1" w:type="dxa"/>
            <w:tcBorders/>
            <w:tcMar>
              <w:bottom w:w="0" w:type="dxa"/>
            </w:tcMar>
            <w:vAlign w:val="center"/>
          </w:tcPr>
          <w:p>
            <w:pPr>
              <w:pStyle w:val="TableContents"/>
              <w:bidi w:val="0"/>
              <w:spacing w:before="0" w:after="0"/>
              <w:jc w:val="center"/>
              <w:rPr>
                <w:spacing w:val="4"/>
              </w:rPr>
            </w:pPr>
            <w:r>
              <w:rPr>
                <w:spacing w:val="4"/>
              </w:rPr>
              <w:t xml:space="preserve">001-38356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3" w:type="dxa"/>
            <w:tcBorders/>
            <w:tcMar>
              <w:bottom w:w="0" w:type="dxa"/>
            </w:tcMar>
            <w:vAlign w:val="center"/>
          </w:tcPr>
          <w:p>
            <w:pPr>
              <w:pStyle w:val="TableContents"/>
              <w:bidi w:val="0"/>
              <w:spacing w:before="0" w:after="0"/>
              <w:jc w:val="center"/>
              <w:rPr>
                <w:spacing w:val="4"/>
              </w:rPr>
            </w:pPr>
            <w:r>
              <w:rPr>
                <w:spacing w:val="4"/>
              </w:rPr>
              <w:t xml:space="preserve">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0" w:type="dxa"/>
            <w:tcBorders/>
            <w:tcMar>
              <w:bottom w:w="0" w:type="dxa"/>
            </w:tcMar>
            <w:vAlign w:val="center"/>
          </w:tcPr>
          <w:p>
            <w:pPr>
              <w:pStyle w:val="TableContents"/>
              <w:bidi w:val="0"/>
              <w:spacing w:before="0" w:after="0"/>
              <w:jc w:val="center"/>
              <w:rPr>
                <w:spacing w:val="4"/>
              </w:rPr>
            </w:pPr>
            <w:r>
              <w:rPr>
                <w:spacing w:val="4"/>
              </w:rPr>
              <w:t xml:space="preserve">January 17, 2023 </w:t>
            </w:r>
          </w:p>
        </w:tc>
        <w:tc>
          <w:tcPr>
            <w:tcW w:w="158"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141" w:type="dxa"/>
            <w:tcBorders/>
            <w:tcMar>
              <w:bottom w:w="0" w:type="dxa"/>
            </w:tcMar>
            <w:vAlign w:val="center"/>
          </w:tcPr>
          <w:p>
            <w:pPr>
              <w:pStyle w:val="TableContents"/>
              <w:bidi w:val="0"/>
              <w:spacing w:before="0" w:after="283"/>
              <w:ind w:left="100" w:right="0" w:hanging="0"/>
              <w:jc w:val="left"/>
              <w:rPr>
                <w:spacing w:val="4"/>
              </w:rPr>
            </w:pPr>
            <w:r>
              <w:rPr>
                <w:spacing w:val="4"/>
              </w:rPr>
              <w:t xml:space="preserve">4.4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98" w:type="dxa"/>
            <w:tcBorders/>
            <w:tcMar>
              <w:bottom w:w="0" w:type="dxa"/>
            </w:tcMar>
            <w:vAlign w:val="center"/>
          </w:tcPr>
          <w:p>
            <w:pPr>
              <w:pStyle w:val="TableContents"/>
              <w:bidi w:val="0"/>
              <w:spacing w:before="0" w:after="0"/>
              <w:jc w:val="left"/>
              <w:rPr/>
            </w:pPr>
            <w:hyperlink r:id="rId33">
              <w:r>
                <w:rPr>
                  <w:rStyle w:val="InternetLink"/>
                  <w:spacing w:val="4"/>
                </w:rPr>
                <w:t>Amended and Restated Bylaws of Yarrow Bioscience, Inc.</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 w:type="dxa"/>
            <w:tcBorders/>
            <w:tcMar>
              <w:bottom w:w="0" w:type="dxa"/>
            </w:tcMar>
            <w:vAlign w:val="center"/>
          </w:tcPr>
          <w:p>
            <w:pPr>
              <w:pStyle w:val="TableContents"/>
              <w:bidi w:val="0"/>
              <w:spacing w:before="0" w:after="0"/>
              <w:jc w:val="center"/>
              <w:rPr>
                <w:spacing w:val="4"/>
              </w:rPr>
            </w:pPr>
            <w:r>
              <w:rPr>
                <w:spacing w:val="4"/>
              </w:rPr>
              <w:t xml:space="preserve">8-K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1" w:type="dxa"/>
            <w:tcBorders/>
            <w:tcMar>
              <w:bottom w:w="0" w:type="dxa"/>
            </w:tcMar>
            <w:vAlign w:val="center"/>
          </w:tcPr>
          <w:p>
            <w:pPr>
              <w:pStyle w:val="TableContents"/>
              <w:bidi w:val="0"/>
              <w:spacing w:before="0" w:after="0"/>
              <w:jc w:val="center"/>
              <w:rPr>
                <w:spacing w:val="4"/>
              </w:rPr>
            </w:pPr>
            <w:r>
              <w:rPr>
                <w:spacing w:val="4"/>
              </w:rPr>
              <w:t xml:space="preserve">001-38356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3" w:type="dxa"/>
            <w:tcBorders/>
            <w:tcMar>
              <w:bottom w:w="0" w:type="dxa"/>
            </w:tcMar>
            <w:vAlign w:val="center"/>
          </w:tcPr>
          <w:p>
            <w:pPr>
              <w:pStyle w:val="TableContents"/>
              <w:bidi w:val="0"/>
              <w:spacing w:before="0" w:after="0"/>
              <w:jc w:val="center"/>
              <w:rPr>
                <w:spacing w:val="4"/>
              </w:rPr>
            </w:pPr>
            <w:r>
              <w:rPr>
                <w:spacing w:val="4"/>
              </w:rPr>
              <w:t xml:space="preserve">3.5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0" w:type="dxa"/>
            <w:tcBorders/>
            <w:tcMar>
              <w:bottom w:w="0" w:type="dxa"/>
            </w:tcMar>
            <w:vAlign w:val="center"/>
          </w:tcPr>
          <w:p>
            <w:pPr>
              <w:pStyle w:val="TableContents"/>
              <w:bidi w:val="0"/>
              <w:spacing w:before="0" w:after="0"/>
              <w:jc w:val="center"/>
              <w:rPr>
                <w:spacing w:val="4"/>
              </w:rPr>
            </w:pPr>
            <w:r>
              <w:rPr>
                <w:spacing w:val="4"/>
              </w:rPr>
              <w:t xml:space="preserve">July 28, 2026 </w:t>
            </w:r>
          </w:p>
        </w:tc>
        <w:tc>
          <w:tcPr>
            <w:tcW w:w="158"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141" w:type="dxa"/>
            <w:tcBorders/>
            <w:tcMar>
              <w:bottom w:w="0" w:type="dxa"/>
            </w:tcMar>
            <w:vAlign w:val="center"/>
          </w:tcPr>
          <w:p>
            <w:pPr>
              <w:pStyle w:val="TableContents"/>
              <w:bidi w:val="0"/>
              <w:spacing w:before="0" w:after="283"/>
              <w:ind w:left="100" w:right="0" w:hanging="0"/>
              <w:jc w:val="left"/>
              <w:rPr>
                <w:spacing w:val="4"/>
              </w:rPr>
            </w:pPr>
            <w:r>
              <w:rPr>
                <w:spacing w:val="4"/>
              </w:rPr>
              <w:t xml:space="preserve">4.5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98" w:type="dxa"/>
            <w:tcBorders/>
            <w:tcMar>
              <w:bottom w:w="0" w:type="dxa"/>
            </w:tcMar>
            <w:vAlign w:val="center"/>
          </w:tcPr>
          <w:p>
            <w:pPr>
              <w:pStyle w:val="TableContents"/>
              <w:bidi w:val="0"/>
              <w:spacing w:before="0" w:after="0"/>
              <w:jc w:val="left"/>
              <w:rPr/>
            </w:pPr>
            <w:hyperlink r:id="rId34">
              <w:r>
                <w:rPr>
                  <w:rStyle w:val="InternetLink"/>
                  <w:spacing w:val="4"/>
                </w:rPr>
                <w:t>Form of Pre-Funded Warrant</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 w:type="dxa"/>
            <w:tcBorders/>
            <w:tcMar>
              <w:bottom w:w="0" w:type="dxa"/>
            </w:tcMar>
            <w:vAlign w:val="center"/>
          </w:tcPr>
          <w:p>
            <w:pPr>
              <w:pStyle w:val="TableContents"/>
              <w:bidi w:val="0"/>
              <w:spacing w:before="0" w:after="0"/>
              <w:jc w:val="center"/>
              <w:rPr>
                <w:spacing w:val="4"/>
              </w:rPr>
            </w:pPr>
            <w:r>
              <w:rPr>
                <w:spacing w:val="4"/>
              </w:rPr>
              <w:t xml:space="preserve">8-K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1" w:type="dxa"/>
            <w:tcBorders/>
            <w:tcMar>
              <w:bottom w:w="0" w:type="dxa"/>
            </w:tcMar>
            <w:vAlign w:val="center"/>
          </w:tcPr>
          <w:p>
            <w:pPr>
              <w:pStyle w:val="TableContents"/>
              <w:bidi w:val="0"/>
              <w:spacing w:before="0" w:after="0"/>
              <w:jc w:val="center"/>
              <w:rPr>
                <w:spacing w:val="4"/>
              </w:rPr>
            </w:pPr>
            <w:r>
              <w:rPr>
                <w:spacing w:val="4"/>
              </w:rPr>
              <w:t xml:space="preserve">001-38356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3" w:type="dxa"/>
            <w:tcBorders/>
            <w:tcMar>
              <w:bottom w:w="0" w:type="dxa"/>
            </w:tcMar>
            <w:vAlign w:val="center"/>
          </w:tcPr>
          <w:p>
            <w:pPr>
              <w:pStyle w:val="TableContents"/>
              <w:bidi w:val="0"/>
              <w:spacing w:before="0" w:after="0"/>
              <w:jc w:val="center"/>
              <w:rPr>
                <w:spacing w:val="4"/>
              </w:rPr>
            </w:pPr>
            <w:r>
              <w:rPr>
                <w:spacing w:val="4"/>
              </w:rPr>
              <w:t xml:space="preserve">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0" w:type="dxa"/>
            <w:tcBorders/>
            <w:tcMar>
              <w:bottom w:w="0" w:type="dxa"/>
            </w:tcMar>
            <w:vAlign w:val="center"/>
          </w:tcPr>
          <w:p>
            <w:pPr>
              <w:pStyle w:val="TableContents"/>
              <w:bidi w:val="0"/>
              <w:spacing w:before="0" w:after="0"/>
              <w:jc w:val="center"/>
              <w:rPr>
                <w:spacing w:val="4"/>
              </w:rPr>
            </w:pPr>
            <w:r>
              <w:rPr>
                <w:spacing w:val="4"/>
              </w:rPr>
              <w:t xml:space="preserve">July 28, 2026 </w:t>
            </w:r>
          </w:p>
        </w:tc>
        <w:tc>
          <w:tcPr>
            <w:tcW w:w="158"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141" w:type="dxa"/>
            <w:tcBorders/>
            <w:tcMar>
              <w:bottom w:w="0" w:type="dxa"/>
            </w:tcMar>
            <w:vAlign w:val="center"/>
          </w:tcPr>
          <w:p>
            <w:pPr>
              <w:pStyle w:val="TableContents"/>
              <w:bidi w:val="0"/>
              <w:spacing w:before="0" w:after="283"/>
              <w:ind w:left="100" w:right="0" w:hanging="0"/>
              <w:jc w:val="left"/>
              <w:rPr/>
            </w:pPr>
            <w:r>
              <w:rPr>
                <w:spacing w:val="4"/>
              </w:rPr>
              <w:t>4.6**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98" w:type="dxa"/>
            <w:tcBorders/>
            <w:tcMar>
              <w:bottom w:w="0" w:type="dxa"/>
            </w:tcMar>
            <w:vAlign w:val="center"/>
          </w:tcPr>
          <w:p>
            <w:pPr>
              <w:pStyle w:val="TableContents"/>
              <w:bidi w:val="0"/>
              <w:spacing w:before="0" w:after="283"/>
              <w:jc w:val="left"/>
              <w:rPr>
                <w:spacing w:val="4"/>
              </w:rPr>
            </w:pPr>
            <w:r>
              <w:rPr>
                <w:spacing w:val="4"/>
              </w:rPr>
              <w:t xml:space="preserve">Form of Warrant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141" w:type="dxa"/>
            <w:tcBorders/>
            <w:tcMar>
              <w:bottom w:w="0" w:type="dxa"/>
            </w:tcMar>
            <w:vAlign w:val="center"/>
          </w:tcPr>
          <w:p>
            <w:pPr>
              <w:pStyle w:val="TableContents"/>
              <w:bidi w:val="0"/>
              <w:spacing w:before="0" w:after="283"/>
              <w:ind w:left="100" w:right="0" w:hanging="0"/>
              <w:jc w:val="left"/>
              <w:rPr/>
            </w:pPr>
            <w:r>
              <w:rPr>
                <w:spacing w:val="4"/>
              </w:rPr>
              <w:t>5.1*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98" w:type="dxa"/>
            <w:tcBorders/>
            <w:tcMar>
              <w:bottom w:w="0" w:type="dxa"/>
            </w:tcMar>
            <w:vAlign w:val="center"/>
          </w:tcPr>
          <w:p>
            <w:pPr>
              <w:pStyle w:val="TableContents"/>
              <w:bidi w:val="0"/>
              <w:spacing w:before="0" w:after="0"/>
              <w:jc w:val="left"/>
              <w:rPr/>
            </w:pPr>
            <w:hyperlink w:anchor="tm2622891d2_ex5-1.htm">
              <w:r>
                <w:rPr>
                  <w:rStyle w:val="InternetLink"/>
                  <w:spacing w:val="4"/>
                </w:rPr>
                <w:t>Opinion of Gibson, Dunn &amp; Crutcher LLP, related to the base prospectus</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141" w:type="dxa"/>
            <w:tcBorders/>
            <w:tcMar>
              <w:bottom w:w="0" w:type="dxa"/>
            </w:tcMar>
            <w:vAlign w:val="center"/>
          </w:tcPr>
          <w:p>
            <w:pPr>
              <w:pStyle w:val="TableContents"/>
              <w:bidi w:val="0"/>
              <w:spacing w:before="0" w:after="283"/>
              <w:ind w:left="100" w:right="0" w:hanging="0"/>
              <w:jc w:val="left"/>
              <w:rPr/>
            </w:pPr>
            <w:r>
              <w:rPr>
                <w:spacing w:val="4"/>
              </w:rPr>
              <w:t>5.2*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98" w:type="dxa"/>
            <w:tcBorders/>
            <w:tcMar>
              <w:bottom w:w="0" w:type="dxa"/>
            </w:tcMar>
            <w:vAlign w:val="center"/>
          </w:tcPr>
          <w:p>
            <w:pPr>
              <w:pStyle w:val="TableContents"/>
              <w:bidi w:val="0"/>
              <w:spacing w:before="0" w:after="0"/>
              <w:jc w:val="left"/>
              <w:rPr/>
            </w:pPr>
            <w:hyperlink w:anchor="tm2622891d2_ex5-2.htm">
              <w:r>
                <w:rPr>
                  <w:rStyle w:val="InternetLink"/>
                  <w:spacing w:val="4"/>
                </w:rPr>
                <w:t>Opinion of Gibson, Dunn &amp; Crutcher LLP, related to the sales agreement prospectus</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141" w:type="dxa"/>
            <w:tcBorders/>
            <w:tcMar>
              <w:bottom w:w="0" w:type="dxa"/>
            </w:tcMar>
            <w:vAlign w:val="center"/>
          </w:tcPr>
          <w:p>
            <w:pPr>
              <w:pStyle w:val="TableContents"/>
              <w:bidi w:val="0"/>
              <w:spacing w:before="0" w:after="283"/>
              <w:jc w:val="left"/>
              <w:rPr/>
            </w:pPr>
            <w:r>
              <w:rPr>
                <w:spacing w:val="4"/>
              </w:rPr>
              <w:t>23.1*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98" w:type="dxa"/>
            <w:tcBorders/>
            <w:tcMar>
              <w:bottom w:w="0" w:type="dxa"/>
            </w:tcMar>
            <w:vAlign w:val="center"/>
          </w:tcPr>
          <w:p>
            <w:pPr>
              <w:pStyle w:val="TableContents"/>
              <w:bidi w:val="0"/>
              <w:spacing w:before="0" w:after="0"/>
              <w:jc w:val="left"/>
              <w:rPr/>
            </w:pPr>
            <w:hyperlink w:anchor="tm2622891d2_ex5-1.htm">
              <w:r>
                <w:rPr>
                  <w:rStyle w:val="InternetLink"/>
                  <w:spacing w:val="4"/>
                </w:rPr>
                <w:t>Consent of Gibson, Dunn &amp; Crutcher LLP (included in Exhibit 5.1)</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141" w:type="dxa"/>
            <w:tcBorders/>
            <w:tcMar>
              <w:bottom w:w="0" w:type="dxa"/>
            </w:tcMar>
            <w:vAlign w:val="center"/>
          </w:tcPr>
          <w:p>
            <w:pPr>
              <w:pStyle w:val="TableContents"/>
              <w:bidi w:val="0"/>
              <w:spacing w:before="0" w:after="283"/>
              <w:jc w:val="left"/>
              <w:rPr/>
            </w:pPr>
            <w:r>
              <w:rPr>
                <w:spacing w:val="4"/>
              </w:rPr>
              <w:t>23.2*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98" w:type="dxa"/>
            <w:tcBorders/>
            <w:tcMar>
              <w:bottom w:w="0" w:type="dxa"/>
            </w:tcMar>
            <w:vAlign w:val="center"/>
          </w:tcPr>
          <w:p>
            <w:pPr>
              <w:pStyle w:val="TableContents"/>
              <w:bidi w:val="0"/>
              <w:spacing w:before="0" w:after="0"/>
              <w:jc w:val="left"/>
              <w:rPr/>
            </w:pPr>
            <w:hyperlink w:anchor="tm2622891d2_ex23-2.htm">
              <w:r>
                <w:rPr>
                  <w:rStyle w:val="InternetLink"/>
                  <w:spacing w:val="4"/>
                </w:rPr>
                <w:t>Consent of Baker Tilly US, LLP, independent registered public accounting firm of VYNE Therapeutics Inc.</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141" w:type="dxa"/>
            <w:tcBorders/>
            <w:tcMar>
              <w:bottom w:w="0" w:type="dxa"/>
            </w:tcMar>
            <w:vAlign w:val="center"/>
          </w:tcPr>
          <w:p>
            <w:pPr>
              <w:pStyle w:val="TableContents"/>
              <w:bidi w:val="0"/>
              <w:spacing w:before="0" w:after="283"/>
              <w:jc w:val="left"/>
              <w:rPr/>
            </w:pPr>
            <w:r>
              <w:rPr>
                <w:spacing w:val="4"/>
              </w:rPr>
              <w:t>23.3*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98" w:type="dxa"/>
            <w:tcBorders/>
            <w:tcMar>
              <w:bottom w:w="0" w:type="dxa"/>
            </w:tcMar>
            <w:vAlign w:val="center"/>
          </w:tcPr>
          <w:p>
            <w:pPr>
              <w:pStyle w:val="TableContents"/>
              <w:bidi w:val="0"/>
              <w:spacing w:before="0" w:after="0"/>
              <w:jc w:val="left"/>
              <w:rPr/>
            </w:pPr>
            <w:hyperlink w:anchor="tm2622891d2_ex23-3.htm">
              <w:r>
                <w:rPr>
                  <w:rStyle w:val="InternetLink"/>
                  <w:spacing w:val="4"/>
                </w:rPr>
                <w:t>Consent of Baker Tilly US, LLP, independent registered public accounting firm of Yarrow Bioscience Operating Company Corp.</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141" w:type="dxa"/>
            <w:tcBorders/>
            <w:tcMar>
              <w:bottom w:w="0" w:type="dxa"/>
            </w:tcMar>
            <w:vAlign w:val="center"/>
          </w:tcPr>
          <w:p>
            <w:pPr>
              <w:pStyle w:val="TableContents"/>
              <w:bidi w:val="0"/>
              <w:spacing w:before="0" w:after="283"/>
              <w:jc w:val="left"/>
              <w:rPr/>
            </w:pPr>
            <w:r>
              <w:rPr>
                <w:spacing w:val="4"/>
              </w:rPr>
              <w:t>24.1*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98" w:type="dxa"/>
            <w:tcBorders/>
            <w:tcMar>
              <w:bottom w:w="0" w:type="dxa"/>
            </w:tcMar>
            <w:vAlign w:val="center"/>
          </w:tcPr>
          <w:p>
            <w:pPr>
              <w:pStyle w:val="TableContents"/>
              <w:bidi w:val="0"/>
              <w:spacing w:before="0" w:after="0"/>
              <w:jc w:val="left"/>
              <w:rPr/>
            </w:pPr>
            <w:hyperlink w:anchor="tSIG">
              <w:r>
                <w:rPr>
                  <w:rStyle w:val="InternetLink"/>
                  <w:spacing w:val="4"/>
                </w:rPr>
                <w:t>Power of Attorney (included on the signature page of this registration statement)</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141" w:type="dxa"/>
            <w:tcBorders/>
            <w:tcMar>
              <w:bottom w:w="0" w:type="dxa"/>
            </w:tcMar>
            <w:vAlign w:val="center"/>
          </w:tcPr>
          <w:p>
            <w:pPr>
              <w:pStyle w:val="TableContents"/>
              <w:bidi w:val="0"/>
              <w:spacing w:before="0" w:after="283"/>
              <w:jc w:val="left"/>
              <w:rPr/>
            </w:pPr>
            <w:r>
              <w:rPr>
                <w:spacing w:val="4"/>
              </w:rPr>
              <w:t>107***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98" w:type="dxa"/>
            <w:tcBorders/>
            <w:tcMar>
              <w:bottom w:w="0" w:type="dxa"/>
            </w:tcMar>
            <w:vAlign w:val="center"/>
          </w:tcPr>
          <w:p>
            <w:pPr>
              <w:pStyle w:val="TableContents"/>
              <w:bidi w:val="0"/>
              <w:spacing w:before="0" w:after="0"/>
              <w:jc w:val="left"/>
              <w:rPr/>
            </w:pPr>
            <w:hyperlink r:id="rId35">
              <w:r>
                <w:rPr>
                  <w:rStyle w:val="InternetLink"/>
                  <w:spacing w:val="4"/>
                </w:rPr>
                <w:t>Filing Fee Table</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herewith. </w:t>
      </w:r>
      <w:r>
        <mc:AlternateContent>
          <mc:Choice Requires="wps">
            <w:drawing>
              <wp:anchor behindDoc="0" distT="100330" distB="0" distL="0" distR="0" simplePos="0" locked="0" layoutInCell="1" allowOverlap="1" relativeHeight="124">
                <wp:simplePos x="0" y="0"/>
                <wp:positionH relativeFrom="column">
                  <wp:align>left</wp:align>
                </wp:positionH>
                <wp:positionV relativeFrom="line">
                  <wp:align>top</wp:align>
                </wp:positionV>
                <wp:extent cx="254000" cy="350520"/>
                <wp:effectExtent l="0" t="0" r="0" b="0"/>
                <wp:wrapSquare wrapText="right"/>
                <wp:docPr id="117" name="Frame1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subsequently filed, if applicable, by an amendment to this registration statement or by a Report on Form 8-K. </w:t>
      </w:r>
      <w:r>
        <mc:AlternateContent>
          <mc:Choice Requires="wps">
            <w:drawing>
              <wp:anchor behindDoc="0" distT="49530" distB="0" distL="0" distR="0" simplePos="0" locked="0" layoutInCell="1" allowOverlap="1" relativeHeight="125">
                <wp:simplePos x="0" y="0"/>
                <wp:positionH relativeFrom="column">
                  <wp:align>left</wp:align>
                </wp:positionH>
                <wp:positionV relativeFrom="line">
                  <wp:align>top</wp:align>
                </wp:positionV>
                <wp:extent cx="254000" cy="350520"/>
                <wp:effectExtent l="0" t="0" r="0" b="0"/>
                <wp:wrapSquare wrapText="right"/>
                <wp:docPr id="118" name="Frame1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Previously filed. </w:t>
      </w:r>
      <w:r>
        <mc:AlternateContent>
          <mc:Choice Requires="wps">
            <w:drawing>
              <wp:anchor behindDoc="0" distT="49530" distB="0" distL="0" distR="0" simplePos="0" locked="0" layoutInCell="1" allowOverlap="1" relativeHeight="126">
                <wp:simplePos x="0" y="0"/>
                <wp:positionH relativeFrom="column">
                  <wp:align>left</wp:align>
                </wp:positionH>
                <wp:positionV relativeFrom="line">
                  <wp:align>top</wp:align>
                </wp:positionV>
                <wp:extent cx="254000" cy="525780"/>
                <wp:effectExtent l="0" t="0" r="0" b="0"/>
                <wp:wrapSquare wrapText="right"/>
                <wp:docPr id="119" name="Frame11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17.   Undertakings.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To file, during any period in which offers or sales are being made, a post-effective amendment to this registration statement: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to include any prospectus required by Section 10(a)(3) of the Securities Act;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Filing Fee Tables” under Exhibit 107 to the effective registration statement; and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(iii)   to include any material information with respect to the plan of distribution not previously disclosed in this registration statement or any material change to such information in this registration statement; </w:t>
      </w: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paragraphs (a)(1)(i), (a)(1)(ii) and (a)(1)(iii)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 or is contained in a form of prospectus filed pursuant to Rule 424(b) that is part of this registration statement.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the time shall be deemed to be the initial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offering thereof.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To remove from registration by means of a post-effective amendment any of the securities being registered which remain unsold at the termination of the offering. </w:t>
      </w:r>
    </w:p>
    <w:p>
      <w:pPr>
        <w:pStyle w:val="TextBody"/>
        <w:bidi w:val="0"/>
        <w:spacing w:lineRule="atLeast" w:line="240" w:before="160" w:after="283"/>
        <w:ind w:left="1393" w:right="0" w:firstLine="8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That, for the purpose of determining liability under the Securities Act to any purchaser: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each prospectus filed by the Registrant pursuant to Rule 424(b)(3) shall be deemed to be part of the registration statement as of the date the filed prospectus was deemed part of and included in the registration statement; and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84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offering of such securities at that time shall be deemed to be the initial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offering thereof; </w:t>
      </w: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any preliminary prospectus or prospectus of the undersigned Registrant relating to the offering required to be filed pursuant to Rule 424;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any free writing prospectus relating to the offering prepared by or on behalf of the undersigned Registrant or used or referred to by the undersigned Registrant;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the portion of any other free writing prospectus relating to the offering containing material information about the undersigned Registrant or its securities provided by or on behalf of the undersigned Registrant; and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any other communication that is an offer in the offering made by the undersigned Registrant to the purchaser.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(6)   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offering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Insofar as indemnification for liabilities arising under the Securities Act may be permitted to directors, officers and controlling persons of the Registrant pursuant to the indemnification provisions described herein,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SIG"/>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New Haven, State of Connecticut, on August 13, 2026. </w:t>
      </w:r>
    </w:p>
    <w:p>
      <w:pPr>
        <w:pStyle w:val="TextBody"/>
        <w:bidi w:val="0"/>
        <w:spacing w:lineRule="atLeast" w:line="240" w:before="24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Yarrow Bioscience,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Rebecca Frey </w:t>
      </w:r>
      <w:r>
        <mc:AlternateContent>
          <mc:Choice Requires="wps">
            <w:drawing>
              <wp:anchor behindDoc="0" distT="101600" distB="0" distL="2794000" distR="0" simplePos="0" locked="0" layoutInCell="1" allowOverlap="1" relativeHeight="127">
                <wp:simplePos x="0" y="0"/>
                <wp:positionH relativeFrom="column">
                  <wp:align>left</wp:align>
                </wp:positionH>
                <wp:positionV relativeFrom="line">
                  <wp:align>top</wp:align>
                </wp:positionV>
                <wp:extent cx="254000" cy="525780"/>
                <wp:effectExtent l="0" t="0" r="0" b="0"/>
                <wp:wrapSquare wrapText="right"/>
                <wp:docPr id="120" name="Frame11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8pt;mso-wrap-distance-bottom:0pt;margin-top:8pt;mso-position-vertical:top;mso-position-vertical-relative:text;margin-left:220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38"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Name: Rebecca Frey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Title:   Chief Executive Officer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SIGNATURES AND POWER OF ATTORNEY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the undersigned officers and directors of Yarrow Bioscience, Inc., hereby severally constitute and appoint Rebecca Frey and Tyler Zeronda, and each and any of them, our true and lawful attorney-in-fact and agent, each with full power of substitution and resubstitution, for him or her and in such person’s name, place and stead, and in any and all capacities, to sign any and all amendments (including post-effective amendments) to this registration statement, and to file the same, with exhibits thereto, and other documents in connection therewith, with the Securities and Exchange Commission, granting unto said attorneys-in-fact and agents, and each of them, full power and authority to do and perform each and every act and thing requisite or necessary to be done in connection therewith, as fully to all intents and purposes as he or she might or could do in person, hereby ratifying and confirming all that each of said attorneys-in-fact and agents, or his or her substitute or substitutes, may lawfully do or cause to be done by virtue 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as amended, this registration statement has been signed by the following persons in the capacities and on the dates indicated. </w:t>
      </w:r>
    </w:p>
    <w:tbl>
      <w:tblPr>
        <w:tblW w:w="8812" w:type="dxa"/>
        <w:jc w:val="left"/>
        <w:tblInd w:w="1393" w:type="dxa"/>
        <w:tblLayout w:type="fixed"/>
        <w:tblCellMar>
          <w:top w:w="0" w:type="dxa"/>
          <w:left w:w="0" w:type="dxa"/>
          <w:bottom w:w="28" w:type="dxa"/>
          <w:right w:w="0" w:type="dxa"/>
        </w:tblCellMar>
      </w:tblPr>
      <w:tblGrid>
        <w:gridCol w:w="124"/>
        <w:gridCol w:w="2581"/>
        <w:gridCol w:w="109"/>
        <w:gridCol w:w="109"/>
        <w:gridCol w:w="3819"/>
        <w:gridCol w:w="109"/>
        <w:gridCol w:w="109"/>
        <w:gridCol w:w="1697"/>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581"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819"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97"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81" w:type="dxa"/>
            <w:tcBorders/>
            <w:tcMar>
              <w:bottom w:w="0" w:type="dxa"/>
            </w:tcMar>
            <w:vAlign w:val="center"/>
          </w:tcPr>
          <w:p>
            <w:pPr>
              <w:pStyle w:val="TableContents"/>
              <w:bidi w:val="0"/>
              <w:spacing w:before="0" w:after="0"/>
              <w:jc w:val="center"/>
              <w:rPr/>
            </w:pPr>
            <w:r>
              <w:rPr>
                <w:spacing w:val="4"/>
              </w:rPr>
              <w:t>/s/ Rebecca Frey, Pharm.D.</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Rebecca Frey, Pharm.D.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19" w:type="dxa"/>
            <w:tcBorders/>
            <w:tcMar>
              <w:bottom w:w="0" w:type="dxa"/>
            </w:tcMar>
            <w:vAlign w:val="center"/>
          </w:tcPr>
          <w:p>
            <w:pPr>
              <w:pStyle w:val="TableContents"/>
              <w:bidi w:val="0"/>
              <w:spacing w:before="0" w:after="0"/>
              <w:jc w:val="center"/>
              <w:rPr/>
            </w:pPr>
            <w:r>
              <w:rPr>
                <w:spacing w:val="4"/>
              </w:rPr>
              <w:t>Director and Chief Executive Officer</w:t>
            </w:r>
            <w:r>
              <w:rPr/>
              <w:t xml:space="preserve"> </w:t>
              <w:br/>
            </w:r>
            <w:r>
              <w:rPr>
                <w:spacing w:val="4"/>
              </w:rPr>
              <w:t>(</w:t>
            </w:r>
            <w:r>
              <w:rPr>
                <w:i/>
                <w:spacing w:val="4"/>
              </w:rPr>
              <w:t>Principal Executive Officer</w:t>
            </w: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97" w:type="dxa"/>
            <w:tcBorders/>
            <w:tcMar>
              <w:bottom w:w="0" w:type="dxa"/>
            </w:tcMar>
            <w:vAlign w:val="center"/>
          </w:tcPr>
          <w:p>
            <w:pPr>
              <w:pStyle w:val="TableContents"/>
              <w:bidi w:val="0"/>
              <w:spacing w:before="0" w:after="0"/>
              <w:jc w:val="center"/>
              <w:rPr>
                <w:spacing w:val="4"/>
              </w:rPr>
            </w:pPr>
            <w:r>
              <w:rPr>
                <w:spacing w:val="4"/>
              </w:rPr>
              <w:t xml:space="preserve">August 13,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81" w:type="dxa"/>
            <w:tcBorders/>
            <w:tcMar>
              <w:bottom w:w="0" w:type="dxa"/>
            </w:tcMar>
            <w:vAlign w:val="center"/>
          </w:tcPr>
          <w:p>
            <w:pPr>
              <w:pStyle w:val="TableContents"/>
              <w:bidi w:val="0"/>
              <w:spacing w:before="0" w:after="0"/>
              <w:jc w:val="center"/>
              <w:rPr/>
            </w:pPr>
            <w:r>
              <w:rPr>
                <w:spacing w:val="4"/>
              </w:rPr>
              <w:t>/s/ Tyler Zeronda</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Tyler Zeronda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19" w:type="dxa"/>
            <w:tcBorders/>
            <w:tcMar>
              <w:bottom w:w="0" w:type="dxa"/>
            </w:tcMar>
            <w:vAlign w:val="center"/>
          </w:tcPr>
          <w:p>
            <w:pPr>
              <w:pStyle w:val="TableContents"/>
              <w:bidi w:val="0"/>
              <w:spacing w:before="0" w:after="0"/>
              <w:jc w:val="center"/>
              <w:rPr/>
            </w:pPr>
            <w:r>
              <w:rPr>
                <w:spacing w:val="4"/>
              </w:rPr>
              <w:t>Chief Financial Officer</w:t>
            </w:r>
            <w:r>
              <w:rPr/>
              <w:t xml:space="preserve"> </w:t>
              <w:br/>
            </w:r>
            <w:r>
              <w:rPr>
                <w:spacing w:val="4"/>
              </w:rPr>
              <w:t>(</w:t>
            </w:r>
            <w:r>
              <w:rPr>
                <w:i/>
                <w:spacing w:val="4"/>
              </w:rPr>
              <w:t>Principal Financial Officer and Principal</w:t>
            </w:r>
            <w:r>
              <w:rPr/>
              <w:t xml:space="preserve"> </w:t>
              <w:br/>
            </w:r>
            <w:r>
              <w:rPr>
                <w:i/>
                <w:spacing w:val="4"/>
              </w:rPr>
              <w:t>Accounting Officer</w:t>
            </w: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97" w:type="dxa"/>
            <w:tcBorders/>
            <w:tcMar>
              <w:bottom w:w="0" w:type="dxa"/>
            </w:tcMar>
            <w:vAlign w:val="center"/>
          </w:tcPr>
          <w:p>
            <w:pPr>
              <w:pStyle w:val="TableContents"/>
              <w:bidi w:val="0"/>
              <w:spacing w:before="0" w:after="0"/>
              <w:jc w:val="center"/>
              <w:rPr>
                <w:spacing w:val="4"/>
              </w:rPr>
            </w:pPr>
            <w:r>
              <w:rPr>
                <w:spacing w:val="4"/>
              </w:rPr>
              <w:t xml:space="preserve">August 13,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81" w:type="dxa"/>
            <w:tcBorders/>
            <w:tcMar>
              <w:bottom w:w="0" w:type="dxa"/>
            </w:tcMar>
            <w:vAlign w:val="center"/>
          </w:tcPr>
          <w:p>
            <w:pPr>
              <w:pStyle w:val="TableContents"/>
              <w:bidi w:val="0"/>
              <w:spacing w:before="0" w:after="0"/>
              <w:jc w:val="center"/>
              <w:rPr/>
            </w:pPr>
            <w:r>
              <w:rPr>
                <w:spacing w:val="4"/>
              </w:rPr>
              <w:t>/s/ Mona Ashiya, Ph.D.</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Mona Ashiya,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19"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97" w:type="dxa"/>
            <w:tcBorders/>
            <w:tcMar>
              <w:bottom w:w="0" w:type="dxa"/>
            </w:tcMar>
            <w:vAlign w:val="center"/>
          </w:tcPr>
          <w:p>
            <w:pPr>
              <w:pStyle w:val="TableContents"/>
              <w:bidi w:val="0"/>
              <w:spacing w:before="0" w:after="0"/>
              <w:jc w:val="center"/>
              <w:rPr>
                <w:spacing w:val="4"/>
              </w:rPr>
            </w:pPr>
            <w:r>
              <w:rPr>
                <w:spacing w:val="4"/>
              </w:rPr>
              <w:t xml:space="preserve">August 13,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81" w:type="dxa"/>
            <w:tcBorders/>
            <w:tcMar>
              <w:bottom w:w="0" w:type="dxa"/>
            </w:tcMar>
            <w:vAlign w:val="center"/>
          </w:tcPr>
          <w:p>
            <w:pPr>
              <w:pStyle w:val="TableContents"/>
              <w:bidi w:val="0"/>
              <w:spacing w:before="0" w:after="0"/>
              <w:jc w:val="center"/>
              <w:rPr/>
            </w:pPr>
            <w:r>
              <w:rPr>
                <w:spacing w:val="4"/>
              </w:rPr>
              <w:t>/s/ Bill Lundberg, M.D.</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Bill Lundberg, M.D.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19"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97" w:type="dxa"/>
            <w:tcBorders/>
            <w:tcMar>
              <w:bottom w:w="0" w:type="dxa"/>
            </w:tcMar>
            <w:vAlign w:val="center"/>
          </w:tcPr>
          <w:p>
            <w:pPr>
              <w:pStyle w:val="TableContents"/>
              <w:bidi w:val="0"/>
              <w:spacing w:before="0" w:after="0"/>
              <w:jc w:val="center"/>
              <w:rPr>
                <w:spacing w:val="4"/>
              </w:rPr>
            </w:pPr>
            <w:r>
              <w:rPr>
                <w:spacing w:val="4"/>
              </w:rPr>
              <w:t xml:space="preserve">August 13,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81" w:type="dxa"/>
            <w:tcBorders/>
            <w:tcMar>
              <w:bottom w:w="0" w:type="dxa"/>
            </w:tcMar>
            <w:vAlign w:val="center"/>
          </w:tcPr>
          <w:p>
            <w:pPr>
              <w:pStyle w:val="TableContents"/>
              <w:bidi w:val="0"/>
              <w:spacing w:before="0" w:after="0"/>
              <w:jc w:val="center"/>
              <w:rPr/>
            </w:pPr>
            <w:r>
              <w:rPr>
                <w:spacing w:val="4"/>
              </w:rPr>
              <w:t>/s/ Steven Hoerter</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Steven Hoerter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19"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97" w:type="dxa"/>
            <w:tcBorders/>
            <w:tcMar>
              <w:bottom w:w="0" w:type="dxa"/>
            </w:tcMar>
            <w:vAlign w:val="center"/>
          </w:tcPr>
          <w:p>
            <w:pPr>
              <w:pStyle w:val="TableContents"/>
              <w:bidi w:val="0"/>
              <w:spacing w:before="0" w:after="0"/>
              <w:jc w:val="center"/>
              <w:rPr>
                <w:spacing w:val="4"/>
              </w:rPr>
            </w:pPr>
            <w:r>
              <w:rPr>
                <w:spacing w:val="4"/>
              </w:rPr>
              <w:t xml:space="preserve">August 13,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81" w:type="dxa"/>
            <w:tcBorders/>
            <w:tcMar>
              <w:bottom w:w="0" w:type="dxa"/>
            </w:tcMar>
            <w:vAlign w:val="center"/>
          </w:tcPr>
          <w:p>
            <w:pPr>
              <w:pStyle w:val="TableContents"/>
              <w:bidi w:val="0"/>
              <w:spacing w:before="0" w:after="0"/>
              <w:jc w:val="center"/>
              <w:rPr/>
            </w:pPr>
            <w:r>
              <w:rPr>
                <w:spacing w:val="4"/>
              </w:rPr>
              <w:t>/s/ Peter Silverman, J.D.</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Peter Silverman, J.D.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19"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97" w:type="dxa"/>
            <w:tcBorders/>
            <w:tcMar>
              <w:bottom w:w="0" w:type="dxa"/>
            </w:tcMar>
            <w:vAlign w:val="center"/>
          </w:tcPr>
          <w:p>
            <w:pPr>
              <w:pStyle w:val="TableContents"/>
              <w:bidi w:val="0"/>
              <w:spacing w:before="0" w:after="0"/>
              <w:jc w:val="center"/>
              <w:rPr>
                <w:spacing w:val="4"/>
              </w:rPr>
            </w:pPr>
            <w:r>
              <w:rPr>
                <w:spacing w:val="4"/>
              </w:rPr>
              <w:t xml:space="preserve">August 13,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81" w:type="dxa"/>
            <w:tcBorders/>
            <w:tcMar>
              <w:bottom w:w="0" w:type="dxa"/>
            </w:tcMar>
            <w:vAlign w:val="center"/>
          </w:tcPr>
          <w:p>
            <w:pPr>
              <w:pStyle w:val="TableContents"/>
              <w:bidi w:val="0"/>
              <w:spacing w:before="0" w:after="0"/>
              <w:jc w:val="center"/>
              <w:rPr/>
            </w:pPr>
            <w:r>
              <w:rPr>
                <w:spacing w:val="4"/>
              </w:rPr>
              <w:t>/s/ William White, J.D.</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William White, J.D.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19"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97" w:type="dxa"/>
            <w:tcBorders/>
            <w:tcMar>
              <w:bottom w:w="0" w:type="dxa"/>
            </w:tcMar>
            <w:vAlign w:val="center"/>
          </w:tcPr>
          <w:p>
            <w:pPr>
              <w:pStyle w:val="TableContents"/>
              <w:bidi w:val="0"/>
              <w:spacing w:before="0" w:after="0"/>
              <w:jc w:val="center"/>
              <w:rPr/>
            </w:pPr>
            <w:r>
              <w:rPr>
                <w:spacing w:val="4"/>
              </w:rPr>
              <w:t>August 13, 2026</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bookmarkStart w:id="27" w:name="tm2622891d2_ex1-2.htm"/>
      <w:bookmarkStart w:id="28" w:name="kstm2622891d2_ex12"/>
      <w:bookmarkEnd w:id="27"/>
      <w:bookmarkEnd w:id="28"/>
      <w:r>
        <w:rPr/>
        <w:t> </w:t>
      </w:r>
      <w:r>
        <w:br w:type="page"/>
      </w:r>
    </w:p>
    <w:p>
      <w:pPr>
        <w:pStyle w:val="TextBody"/>
        <w:bidi w:val="0"/>
        <w:jc w:val="right"/>
        <w:rPr>
          <w:b/>
        </w:rPr>
      </w:pPr>
      <w:r>
        <w:rPr>
          <w:b/>
        </w:rPr>
        <w:t>Exhibit 1.2</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YARROW Bioscience, INC.</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$50,000,000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Amended AND Restated</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SALES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TD SECURITIES (USA)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Vanderbilt Avenue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Yarrow Bioscience, Inc. (the “</w:t>
      </w:r>
      <w:r>
        <w:rPr>
          <w:rFonts w:ascii="Times New Roman;Times;Serif" w:hAnsi="Times New Roman;Times;Serif"/>
          <w:b/>
          <w:i w:val="false"/>
          <w:caps w:val="false"/>
          <w:smallCaps w:val="false"/>
          <w:sz w:val="20"/>
          <w:u w:val="single"/>
        </w:rPr>
        <w:t>Company</w:t>
      </w:r>
      <w:r>
        <w:rPr>
          <w:rFonts w:ascii="Times New Roman;Times;Serif" w:hAnsi="Times New Roman;Times;Serif"/>
          <w:b w:val="false"/>
          <w:i w:val="false"/>
          <w:caps w:val="false"/>
          <w:smallCaps w:val="false"/>
          <w:sz w:val="20"/>
        </w:rPr>
        <w:t>”) confirms its agreement (this “</w:t>
      </w:r>
      <w:r>
        <w:rPr>
          <w:rFonts w:ascii="Times New Roman;Times;Serif" w:hAnsi="Times New Roman;Times;Serif"/>
          <w:b/>
          <w:i w:val="false"/>
          <w:caps w:val="false"/>
          <w:smallCaps w:val="false"/>
          <w:sz w:val="20"/>
          <w:u w:val="single"/>
        </w:rPr>
        <w:t>Agreement</w:t>
      </w:r>
      <w:r>
        <w:rPr>
          <w:rFonts w:ascii="Times New Roman;Times;Serif" w:hAnsi="Times New Roman;Times;Serif"/>
          <w:b w:val="false"/>
          <w:i w:val="false"/>
          <w:caps w:val="false"/>
          <w:smallCaps w:val="false"/>
          <w:sz w:val="20"/>
        </w:rPr>
        <w:t>”) with TD Securities (USA) LLC (“</w:t>
      </w:r>
      <w:r>
        <w:rPr>
          <w:rFonts w:ascii="Times New Roman;Times;Serif" w:hAnsi="Times New Roman;Times;Serif"/>
          <w:b/>
          <w:i w:val="false"/>
          <w:caps w:val="false"/>
          <w:smallCaps w:val="false"/>
          <w:sz w:val="20"/>
          <w:u w:val="single"/>
        </w:rPr>
        <w:t>TD Cowen</w:t>
      </w:r>
      <w:r>
        <w:rPr>
          <w:rFonts w:ascii="Times New Roman;Times;Serif" w:hAnsi="Times New Roman;Times;Serif"/>
          <w:b w:val="false"/>
          <w:i w:val="false"/>
          <w:caps w:val="false"/>
          <w:smallCaps w:val="false"/>
          <w:sz w:val="20"/>
        </w:rPr>
        <w:t>”),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Issuance and Sale of Shares</w:t>
      </w:r>
      <w:r>
        <w:rPr>
          <w:rFonts w:ascii="Times New Roman;Times;Serif" w:hAnsi="Times New Roman;Times;Serif"/>
          <w:b w:val="false"/>
          <w:i w:val="false"/>
          <w:caps w:val="false"/>
          <w:smallCaps w:val="false"/>
          <w:sz w:val="20"/>
        </w:rPr>
        <w:t>. The Company agrees that, from time to time during the term of this Agreement, on the terms and subject to the conditions set forth herein, it may issue and sell through TD Cowen, acting as agent and/or principal, shares (the “</w:t>
      </w:r>
      <w:r>
        <w:rPr>
          <w:rFonts w:ascii="Times New Roman;Times;Serif" w:hAnsi="Times New Roman;Times;Serif"/>
          <w:b/>
          <w:i w:val="false"/>
          <w:caps w:val="false"/>
          <w:smallCaps w:val="false"/>
          <w:sz w:val="20"/>
          <w:u w:val="single"/>
        </w:rPr>
        <w:t>Placement Shares</w:t>
      </w:r>
      <w:r>
        <w:rPr>
          <w:rFonts w:ascii="Times New Roman;Times;Serif" w:hAnsi="Times New Roman;Times;Serif"/>
          <w:b w:val="false"/>
          <w:i w:val="false"/>
          <w:caps w:val="false"/>
          <w:smallCaps w:val="false"/>
          <w:sz w:val="20"/>
        </w:rPr>
        <w:t>”) of the Company’s common stock, par value $0.0001 per share (the “</w:t>
      </w:r>
      <w:r>
        <w:rPr>
          <w:rFonts w:ascii="Times New Roman;Times;Serif" w:hAnsi="Times New Roman;Times;Serif"/>
          <w:b/>
          <w:i w:val="false"/>
          <w:caps w:val="false"/>
          <w:smallCaps w:val="false"/>
          <w:sz w:val="20"/>
          <w:u w:val="single"/>
        </w:rPr>
        <w:t>Common Stock</w:t>
      </w:r>
      <w:r>
        <w:rPr>
          <w:rFonts w:ascii="Times New Roman;Times;Serif" w:hAnsi="Times New Roman;Times;Serif"/>
          <w:b w:val="false"/>
          <w:i w:val="false"/>
          <w:caps w:val="false"/>
          <w:smallCaps w:val="false"/>
          <w:sz w:val="20"/>
        </w:rPr>
        <w:t>”), having an aggregate offering price of up to $50,000,000 (the “</w:t>
      </w:r>
      <w:r>
        <w:rPr>
          <w:rFonts w:ascii="Times New Roman;Times;Serif" w:hAnsi="Times New Roman;Times;Serif"/>
          <w:b/>
          <w:i w:val="false"/>
          <w:caps w:val="false"/>
          <w:smallCaps w:val="false"/>
          <w:sz w:val="20"/>
          <w:u w:val="single"/>
        </w:rPr>
        <w:t>Maximum Amount</w:t>
      </w:r>
      <w:r>
        <w:rPr>
          <w:rFonts w:ascii="Times New Roman;Times;Serif" w:hAnsi="Times New Roman;Times;Serif"/>
          <w:b w:val="false"/>
          <w:i w:val="false"/>
          <w:caps w:val="false"/>
          <w:smallCaps w:val="false"/>
          <w:sz w:val="20"/>
        </w:rPr>
        <w:t xml:space="preserve">”). Notwithstanding anything to the contrary contained herein, the parties hereto agree that compliance with the limitation set forth in this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on the number of shares of Common Stock issued and sold under this Agreement shall be the sole responsibility of the Company, and TD Cowen shall have no obligation in connection with such compliance. The issuance and sale of Common Stock through TD Cowen will be effected pursuant to the Registration Statement (as defined below) filed, or to be filed, by the Company and after such Registration Statement has been declared effective by the Securities and Exchange Commission (the “</w:t>
      </w:r>
      <w:r>
        <w:rPr>
          <w:rFonts w:ascii="Times New Roman;Times;Serif" w:hAnsi="Times New Roman;Times;Serif"/>
          <w:b/>
          <w:i w:val="false"/>
          <w:caps w:val="false"/>
          <w:smallCaps w:val="false"/>
          <w:sz w:val="20"/>
          <w:u w:val="single"/>
        </w:rPr>
        <w:t>Commission</w:t>
      </w:r>
      <w:r>
        <w:rPr>
          <w:rFonts w:ascii="Times New Roman;Times;Serif" w:hAnsi="Times New Roman;Times;Serif"/>
          <w:b w:val="false"/>
          <w:i w:val="false"/>
          <w:caps w:val="false"/>
          <w:smallCaps w:val="false"/>
          <w:sz w:val="20"/>
        </w:rPr>
        <w:t>”), although nothing in this Agreement shall be construed as requiring the Company to use the Registration Statement (as defined below) to issue the Placement Shares. The Company acknowledges and agrees that sales of Placement Shares under this Agreement may be made through affiliates of TD Cowen, and that TD Cowen may otherwise fulfill its obligations pursuant to this Agreement to or through an affiliated broker-dealer.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file, in accordance with the provisions of the Securities Act of 1933, as amended, and the rules and regulations thereunder (collectively, the “</w:t>
      </w:r>
      <w:r>
        <w:rPr>
          <w:rFonts w:ascii="Times New Roman;Times;Serif" w:hAnsi="Times New Roman;Times;Serif"/>
          <w:b/>
          <w:i w:val="false"/>
          <w:caps w:val="false"/>
          <w:smallCaps w:val="false"/>
          <w:sz w:val="20"/>
          <w:u w:val="single"/>
        </w:rPr>
        <w:t>Securities Act</w:t>
      </w:r>
      <w:r>
        <w:rPr>
          <w:rFonts w:ascii="Times New Roman;Times;Serif" w:hAnsi="Times New Roman;Times;Serif"/>
          <w:b w:val="false"/>
          <w:i w:val="false"/>
          <w:caps w:val="false"/>
          <w:smallCaps w:val="false"/>
          <w:sz w:val="20"/>
        </w:rPr>
        <w:t>”), with the Commission a registration statement on Form S-3, including a base prospectus, relating to certain securities, including the Common Stock, to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Times New Roman;Times;Serif" w:hAnsi="Times New Roman;Times;Serif"/>
          <w:b/>
          <w:i w:val="false"/>
          <w:caps w:val="false"/>
          <w:smallCaps w:val="false"/>
          <w:sz w:val="20"/>
          <w:u w:val="single"/>
        </w:rPr>
        <w:t>Exchange Act</w:t>
      </w:r>
      <w:r>
        <w:rPr>
          <w:rFonts w:ascii="Times New Roman;Times;Serif" w:hAnsi="Times New Roman;Times;Serif"/>
          <w:b w:val="false"/>
          <w:i w:val="false"/>
          <w:caps w:val="false"/>
          <w:smallCaps w:val="false"/>
          <w:sz w:val="20"/>
        </w:rPr>
        <w:t>”). The Company has prepared a prospectus specifically relating to the Placement Shares (the “</w:t>
      </w:r>
      <w:r>
        <w:rPr>
          <w:rFonts w:ascii="Times New Roman;Times;Serif" w:hAnsi="Times New Roman;Times;Serif"/>
          <w:b/>
          <w:i w:val="false"/>
          <w:caps w:val="false"/>
          <w:smallCaps w:val="false"/>
          <w:sz w:val="20"/>
          <w:u w:val="single"/>
        </w:rPr>
        <w:t>ATM Prospectus</w:t>
      </w:r>
      <w:r>
        <w:rPr>
          <w:rFonts w:ascii="Times New Roman;Times;Serif" w:hAnsi="Times New Roman;Times;Serif"/>
          <w:b w:val="false"/>
          <w:i w:val="false"/>
          <w:caps w:val="false"/>
          <w:smallCaps w:val="false"/>
          <w:sz w:val="20"/>
        </w:rPr>
        <w:t>”) to the base prospectus included as part of such Registration Statement, and shall, if necessary, prepare a prospectus supplement specifically relating to the Placement Shares (the “</w:t>
      </w:r>
      <w:r>
        <w:rPr>
          <w:rFonts w:ascii="Times New Roman;Times;Serif" w:hAnsi="Times New Roman;Times;Serif"/>
          <w:b/>
          <w:i w:val="false"/>
          <w:caps w:val="false"/>
          <w:smallCaps w:val="false"/>
          <w:sz w:val="20"/>
          <w:u w:val="single"/>
        </w:rPr>
        <w:t>Prospectus Supplement</w:t>
      </w:r>
      <w:r>
        <w:rPr>
          <w:rFonts w:ascii="Times New Roman;Times;Serif" w:hAnsi="Times New Roman;Times;Serif"/>
          <w:b w:val="false"/>
          <w:i w:val="false"/>
          <w:caps w:val="false"/>
          <w:smallCaps w:val="false"/>
          <w:sz w:val="20"/>
        </w:rPr>
        <w:t>”) to the base prospectus included as part of such registration statement. The Company shall furnish to TD Cowen, for use by TD Cowen, copies of the prospectus included as part of such registration statement, as supplemented by the Prospectus Supplement, if any, relating to the Placement Shares. Except where the context otherwise requires, such registration statement, and any post-effective amendment thereto, as amended when it becomes effective,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or 462(b) of the Securities Act, or any subsequent registration statement on Form S-3 filed pursuant to Rule 415(a)(6) under the Securities Act by the Company to cover any Placement Shares, is herein called the “</w:t>
      </w:r>
      <w:r>
        <w:rPr>
          <w:rFonts w:ascii="Times New Roman;Times;Serif" w:hAnsi="Times New Roman;Times;Serif"/>
          <w:b/>
          <w:i w:val="false"/>
          <w:caps w:val="false"/>
          <w:smallCaps w:val="false"/>
          <w:sz w:val="20"/>
          <w:u w:val="single"/>
        </w:rPr>
        <w:t>Registration Statement.</w:t>
      </w:r>
      <w:r>
        <w:rPr>
          <w:rFonts w:ascii="Times New Roman;Times;Serif" w:hAnsi="Times New Roman;Times;Serif"/>
          <w:b w:val="false"/>
          <w:i w:val="false"/>
          <w:caps w:val="false"/>
          <w:smallCaps w:val="false"/>
          <w:sz w:val="20"/>
        </w:rPr>
        <w:t>” The base prospectus, including all documents incorporated therein by reference, included in the Registration Statement, as it may be supplemented by the ATM Prospectus and the Prospectus Supplement, if any, in the form in which such prospectus, ATM Prospectus and/or Prospectus Supplement have most recently been filed by the Company with the Commission pursuant to Rule 424(b) under the Securities Act, together with any “issuer free writing prospectus,” as defined in Rule 433 of the Securities Act regulations (“</w:t>
      </w:r>
      <w:r>
        <w:rPr>
          <w:rFonts w:ascii="Times New Roman;Times;Serif" w:hAnsi="Times New Roman;Times;Serif"/>
          <w:b/>
          <w:i w:val="false"/>
          <w:caps w:val="false"/>
          <w:smallCaps w:val="false"/>
          <w:sz w:val="20"/>
          <w:u w:val="single"/>
        </w:rPr>
        <w:t>Rule 433</w:t>
      </w:r>
      <w:r>
        <w:rPr>
          <w:rFonts w:ascii="Times New Roman;Times;Serif" w:hAnsi="Times New Roman;Times;Serif"/>
          <w:b w:val="false"/>
          <w:i w:val="false"/>
          <w:caps w:val="false"/>
          <w:smallCaps w:val="false"/>
          <w:sz w:val="20"/>
        </w:rPr>
        <w:t>”), relating to the Placement Shares that (i) is consented to by TD Cowen, hereinafter referred to as a “</w:t>
      </w:r>
      <w:r>
        <w:rPr>
          <w:rFonts w:ascii="Times New Roman;Times;Serif" w:hAnsi="Times New Roman;Times;Serif"/>
          <w:b/>
          <w:i w:val="false"/>
          <w:caps w:val="false"/>
          <w:smallCaps w:val="false"/>
          <w:sz w:val="20"/>
          <w:u w:val="single"/>
        </w:rPr>
        <w:t>Permitted Free Writing Prospectus</w:t>
      </w:r>
      <w:r>
        <w:rPr>
          <w:rFonts w:ascii="Times New Roman;Times;Serif" w:hAnsi="Times New Roman;Times;Serif"/>
          <w:b w:val="false"/>
          <w:i w:val="false"/>
          <w:caps w:val="false"/>
          <w:smallCaps w:val="false"/>
          <w:sz w:val="20"/>
        </w:rPr>
        <w:t>,” (ii) is required to be filed with the Commission by the Company or (iii) is exempt from filing pursuant to Rule 433(d)(5)(i), in each case in the form filed or required to be filed with the Commission or, if not required to be filed, in the form retained in the Company’s records pursuant to Rule 433(g), is herein called the “</w:t>
      </w:r>
      <w:r>
        <w:rPr>
          <w:rFonts w:ascii="Times New Roman;Times;Serif" w:hAnsi="Times New Roman;Times;Serif"/>
          <w:b/>
          <w:i w:val="false"/>
          <w:caps w:val="false"/>
          <w:smallCaps w:val="false"/>
          <w:sz w:val="20"/>
          <w:u w:val="single"/>
        </w:rPr>
        <w:t>Prospectus</w:t>
      </w:r>
      <w:r>
        <w:rPr>
          <w:rFonts w:ascii="Times New Roman;Times;Serif" w:hAnsi="Times New Roman;Times;Serif"/>
          <w:b w:val="false"/>
          <w:i w:val="false"/>
          <w:caps w:val="false"/>
          <w:smallCaps w:val="false"/>
          <w:sz w:val="20"/>
        </w:rPr>
        <w:t>.”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For purposes of this Agreement, all references to the Registration Statement, the Prospectus or to any amendment or supplement thereto shall be deemed to include any copy filed with the Commission pursuant to the Electronic Data Gathering Analysis and Retrieval System (“</w:t>
      </w:r>
      <w:r>
        <w:rPr>
          <w:rFonts w:ascii="Times New Roman;Times;Serif" w:hAnsi="Times New Roman;Times;Serif"/>
          <w:b/>
          <w:i w:val="false"/>
          <w:caps w:val="false"/>
          <w:smallCaps w:val="false"/>
          <w:sz w:val="20"/>
          <w:u w:val="single"/>
        </w:rPr>
        <w:t>EDGAR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Placements</w:t>
      </w:r>
      <w:r>
        <w:rPr>
          <w:rFonts w:ascii="Times New Roman;Times;Serif" w:hAnsi="Times New Roman;Times;Serif"/>
          <w:b w:val="false"/>
          <w:i w:val="false"/>
          <w:caps w:val="false"/>
          <w:smallCaps w:val="false"/>
          <w:sz w:val="20"/>
        </w:rPr>
        <w:t>. Each time that the Company wishes to issue and sell the Placement Shares hereunder (each, a “</w:t>
      </w:r>
      <w:r>
        <w:rPr>
          <w:rFonts w:ascii="Times New Roman;Times;Serif" w:hAnsi="Times New Roman;Times;Serif"/>
          <w:b/>
          <w:i w:val="false"/>
          <w:caps w:val="false"/>
          <w:smallCaps w:val="false"/>
          <w:sz w:val="20"/>
          <w:u w:val="single"/>
        </w:rPr>
        <w:t>Placement</w:t>
      </w:r>
      <w:r>
        <w:rPr>
          <w:rFonts w:ascii="Times New Roman;Times;Serif" w:hAnsi="Times New Roman;Times;Serif"/>
          <w:b w:val="false"/>
          <w:i w:val="false"/>
          <w:caps w:val="false"/>
          <w:smallCaps w:val="false"/>
          <w:sz w:val="20"/>
        </w:rPr>
        <w:t>”), it will notify TD Cowen by email notice (or other method mutually agreed to in writing by the parties) (a “</w:t>
      </w:r>
      <w:r>
        <w:rPr>
          <w:rFonts w:ascii="Times New Roman;Times;Serif" w:hAnsi="Times New Roman;Times;Serif"/>
          <w:b/>
          <w:i w:val="false"/>
          <w:caps w:val="false"/>
          <w:smallCaps w:val="false"/>
          <w:sz w:val="20"/>
          <w:u w:val="single"/>
        </w:rPr>
        <w:t>Placement Notice</w:t>
      </w:r>
      <w:r>
        <w:rPr>
          <w:rFonts w:ascii="Times New Roman;Times;Serif" w:hAnsi="Times New Roman;Times;Serif"/>
          <w:b w:val="false"/>
          <w:i w:val="false"/>
          <w:caps w:val="false"/>
          <w:smallCaps w:val="false"/>
          <w:sz w:val="20"/>
        </w:rPr>
        <w:t xml:space="preserve">”) containing the parameters in accordance with which it desires the Placement Shares to be sold, which shall at a minimum include the number of Placement Shares to be issued, the time period during which sales are requested to be made, any limitation on the number of Placement Shares that may be sold in any one Trading Day (as defined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and any minimum price below which sales may not be made, a form of which containing such minimum sales parameters necessary is attached hereto as </w:t>
      </w:r>
      <w:r>
        <w:rPr>
          <w:rFonts w:ascii="Times New Roman;Times;Serif" w:hAnsi="Times New Roman;Times;Serif"/>
          <w:b/>
          <w:i w:val="false"/>
          <w:caps w:val="false"/>
          <w:smallCaps w:val="false"/>
          <w:sz w:val="20"/>
          <w:u w:val="single"/>
        </w:rPr>
        <w:t>Schedule 1</w:t>
      </w:r>
      <w:r>
        <w:rPr>
          <w:rFonts w:ascii="Times New Roman;Times;Serif" w:hAnsi="Times New Roman;Times;Serif"/>
          <w:b w:val="false"/>
          <w:i w:val="false"/>
          <w:caps w:val="false"/>
          <w:smallCaps w:val="false"/>
          <w:sz w:val="20"/>
        </w:rPr>
        <w:t xml:space="preserve">. The Placement Notice shall originate from any of the individuals from the Company set forth on </w:t>
      </w:r>
      <w:r>
        <w:rPr>
          <w:rFonts w:ascii="Times New Roman;Times;Serif" w:hAnsi="Times New Roman;Times;Serif"/>
          <w:b/>
          <w:i w:val="false"/>
          <w:caps w:val="false"/>
          <w:smallCaps w:val="false"/>
          <w:sz w:val="20"/>
          <w:u w:val="single"/>
        </w:rPr>
        <w:t>Schedule 2</w:t>
      </w:r>
      <w:r>
        <w:rPr>
          <w:rFonts w:ascii="Times New Roman;Times;Serif" w:hAnsi="Times New Roman;Times;Serif"/>
          <w:b w:val="false"/>
          <w:i w:val="false"/>
          <w:caps w:val="false"/>
          <w:smallCaps w:val="false"/>
          <w:sz w:val="20"/>
        </w:rPr>
        <w:t xml:space="preserve"> (with a copy to each of the other individuals from the Company listed on such schedule), and shall be addressed to each of the individuals from TD Cowen set forth on </w:t>
      </w:r>
      <w:r>
        <w:rPr>
          <w:rFonts w:ascii="Times New Roman;Times;Serif" w:hAnsi="Times New Roman;Times;Serif"/>
          <w:b/>
          <w:i w:val="false"/>
          <w:caps w:val="false"/>
          <w:smallCaps w:val="false"/>
          <w:sz w:val="20"/>
          <w:u w:val="single"/>
        </w:rPr>
        <w:t>Schedule 2</w:t>
      </w:r>
      <w:r>
        <w:rPr>
          <w:rFonts w:ascii="Times New Roman;Times;Serif" w:hAnsi="Times New Roman;Times;Serif"/>
          <w:b w:val="false"/>
          <w:i w:val="false"/>
          <w:caps w:val="false"/>
          <w:smallCaps w:val="false"/>
          <w:sz w:val="20"/>
        </w:rPr>
        <w:t xml:space="preserve">, as such </w:t>
      </w:r>
      <w:r>
        <w:rPr>
          <w:rFonts w:ascii="Times New Roman;Times;Serif" w:hAnsi="Times New Roman;Times;Serif"/>
          <w:b/>
          <w:i w:val="false"/>
          <w:caps w:val="false"/>
          <w:smallCaps w:val="false"/>
          <w:sz w:val="20"/>
          <w:u w:val="single"/>
        </w:rPr>
        <w:t>Schedule 2</w:t>
      </w:r>
      <w:r>
        <w:rPr>
          <w:rFonts w:ascii="Times New Roman;Times;Serif" w:hAnsi="Times New Roman;Times;Serif"/>
          <w:b w:val="false"/>
          <w:i w:val="false"/>
          <w:caps w:val="false"/>
          <w:smallCaps w:val="false"/>
          <w:sz w:val="20"/>
        </w:rPr>
        <w:t xml:space="preserve"> may be amended from time to time. The Placement Notice shall be effective upon receipt by TD Cowen unless and until (i) in accordance with the notice requirements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TD Cowen declines to accept the terms contained therein for any reason, in its sole discretion, (ii) the entire amount of the Placement Shares have been sold, (iii) in accordance with the notice requirements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the Company suspends or terminates the Placement Notice for any reason, in its sole discretion, (iv) the Company issues a subsequent Placement Notice with parameters superseding those on the earlier dated Placement Notice, or (v) this Agreement has been terminated under the provisions of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The amount of any discount, commission or other compensation to be paid by the Company to TD Cowen in connection with the sale of the Placement Shares shall be calculated in accordance with the terms set forth in </w:t>
      </w:r>
      <w:r>
        <w:rPr>
          <w:rFonts w:ascii="Times New Roman;Times;Serif" w:hAnsi="Times New Roman;Times;Serif"/>
          <w:b/>
          <w:i w:val="false"/>
          <w:caps w:val="false"/>
          <w:smallCaps w:val="false"/>
          <w:sz w:val="20"/>
          <w:u w:val="single"/>
        </w:rPr>
        <w:t>Schedule 3</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It is expressly acknowledged and agreed that neither the Company nor TD Cowen will have any obligation whatsoever with respect to a Placement or any Placement Shares unless and until the Company delivers a Placement Notice to TD Cowen and TD Cowen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Sale of Placement Shares by TD Cowen.</w:t>
      </w:r>
      <w:r>
        <w:rPr>
          <w:rFonts w:ascii="Times New Roman;Times;Serif" w:hAnsi="Times New Roman;Times;Serif"/>
          <w:b w:val="false"/>
          <w:i w:val="false"/>
          <w:caps w:val="false"/>
          <w:smallCaps w:val="false"/>
          <w:sz w:val="20"/>
        </w:rPr>
        <w:t xml:space="preserve"> Subject to the terms and conditions herein set forth, upon the Company’s delivery of a Placement Notice, and unless the sale of the Placement Shares described therein has been declined, suspended, or otherwise terminated in accordance with the terms of this Agreement, TD Cowen, for the period specified in the Placement Notice, will use its commercially reasonable efforts consistent with its normal trading and sales practices and applicable state and federal laws, rules and regulations and the rules of the Nasdaq Stock Market, Inc. (“</w:t>
      </w:r>
      <w:r>
        <w:rPr>
          <w:rFonts w:ascii="Times New Roman;Times;Serif" w:hAnsi="Times New Roman;Times;Serif"/>
          <w:b/>
          <w:i w:val="false"/>
          <w:caps w:val="false"/>
          <w:smallCaps w:val="false"/>
          <w:sz w:val="20"/>
          <w:u w:val="single"/>
        </w:rPr>
        <w:t>Nasdaq</w:t>
      </w:r>
      <w:r>
        <w:rPr>
          <w:rFonts w:ascii="Times New Roman;Times;Serif" w:hAnsi="Times New Roman;Times;Serif"/>
          <w:b w:val="false"/>
          <w:i w:val="false"/>
          <w:caps w:val="false"/>
          <w:smallCaps w:val="false"/>
          <w:sz w:val="20"/>
        </w:rPr>
        <w:t xml:space="preserve">”) to sell such Placement Shares up to the amount specified, and otherwise in accordance with the terms of such Placement Notice. TD Cowen will provide written confirmation to the Company (including by email correspondence to each of the individuals of the Company set forth on </w:t>
      </w:r>
      <w:r>
        <w:rPr>
          <w:rFonts w:ascii="Times New Roman;Times;Serif" w:hAnsi="Times New Roman;Times;Serif"/>
          <w:b/>
          <w:i w:val="false"/>
          <w:caps w:val="false"/>
          <w:smallCaps w:val="false"/>
          <w:sz w:val="20"/>
          <w:u w:val="single"/>
        </w:rPr>
        <w:t>Schedule 2</w:t>
      </w:r>
      <w:r>
        <w:rPr>
          <w:rFonts w:ascii="Times New Roman;Times;Serif" w:hAnsi="Times New Roman;Times;Serif"/>
          <w:b w:val="false"/>
          <w:i w:val="false"/>
          <w:caps w:val="false"/>
          <w:smallCaps w:val="false"/>
          <w:sz w:val="20"/>
        </w:rPr>
        <w:t>, if receipt of such correspondence is actually acknowledged by any of the individuals to whom the notice is sent, other than via auto-reply) no later than the opening of the Trading Day (as defined below) immediately following the Trading Day on which it has made sales of Placement Shares hereunder setting forth the number of Placement Shares sold on such day, the volume-weighted average price of the Placement Shares sold, and the Net Proceeds (as defined below) payable to the Company. In the event the Company engages TD Cowen for a sale of Placement Shares that would constitute a “block” within the meaning of Rule 10b-18(a)(5) under the Exchange Act (a “</w:t>
      </w:r>
      <w:r>
        <w:rPr>
          <w:rFonts w:ascii="Times New Roman;Times;Serif" w:hAnsi="Times New Roman;Times;Serif"/>
          <w:b/>
          <w:i w:val="false"/>
          <w:caps w:val="false"/>
          <w:smallCaps w:val="false"/>
          <w:sz w:val="20"/>
          <w:u w:val="single"/>
        </w:rPr>
        <w:t>Block Sale</w:t>
      </w:r>
      <w:r>
        <w:rPr>
          <w:rFonts w:ascii="Times New Roman;Times;Serif" w:hAnsi="Times New Roman;Times;Serif"/>
          <w:b w:val="false"/>
          <w:i w:val="false"/>
          <w:caps w:val="false"/>
          <w:smallCaps w:val="false"/>
          <w:sz w:val="20"/>
        </w:rPr>
        <w:t xml:space="preserve">”), the Company will provide TD Cowen, at TD Cowen’s request and upon reasonable advance notice to the Company, on or prior to the Settlement Date (as defined below), the opinions of counsel, accountant’s letter and officers’ certificates set forth in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hereof, each dated the Settlement Date, and such other documents and information as TD Cowen shall reasonably request. TD Cowen may sell Placement Shares in negotiated transactions, including block trades or Block Sales, or by any method permitted by law deemed to be an “at the market” offering as defined in Rule 415 of the Securities Act, including without limitation sales made through Nasdaq or on any other existing trading market for the Common Stock, or by any other method permitted by law. TD Cowen shall not purchase Placement Shares for its own account as principal unless expressly authorized to do so by the Company in a Placement Notice. The Company acknowledges and agrees that (i) there can be no assurance that TD Cowen will be successful in selling Placement Shares, and (ii) TD Cowen will incur no liability or obligation to the Company or any other person or entity if it does not sell Placement Shares for any reason other than a failure by TD Cowen to use its commercially reasonable efforts consistent with its normal trading and sales practices to sell such Placement Shares as required under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For the purposes hereof, “</w:t>
      </w:r>
      <w:r>
        <w:rPr>
          <w:rFonts w:ascii="Times New Roman;Times;Serif" w:hAnsi="Times New Roman;Times;Serif"/>
          <w:b/>
          <w:i w:val="false"/>
          <w:caps w:val="false"/>
          <w:smallCaps w:val="false"/>
          <w:sz w:val="20"/>
          <w:u w:val="single"/>
        </w:rPr>
        <w:t>Trading Day</w:t>
      </w:r>
      <w:r>
        <w:rPr>
          <w:rFonts w:ascii="Times New Roman;Times;Serif" w:hAnsi="Times New Roman;Times;Serif"/>
          <w:b w:val="false"/>
          <w:i w:val="false"/>
          <w:caps w:val="false"/>
          <w:smallCaps w:val="false"/>
          <w:sz w:val="20"/>
        </w:rPr>
        <w:t>” means any day on which the Common Stock is purchased and sold on the principal market on which the Common Stock is listed or quoted.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of this Agreement, the Company shall not offer, sell or deliver, or request the offer or sale, of any Placement Shares pursuant to this Agreement and, by notice to TD Cowen given by telephone (confirmed promptly by email), shall cancel any instructions for the offer or sale of any Placement Shares, and TD Cowen shall not be obligated to offer or sell any Placement Shares, (i) during any period in which the Company is, or could be deemed to be, in possession of material non-public information, or (ii) at any time from and including the date on which the Company shall issue a press release containing, or shall otherwise publicly announce, its earnings, revenues or other results of operations (an “</w:t>
      </w:r>
      <w:r>
        <w:rPr>
          <w:rFonts w:ascii="Times New Roman;Times;Serif" w:hAnsi="Times New Roman;Times;Serif"/>
          <w:b/>
          <w:i w:val="false"/>
          <w:caps w:val="false"/>
          <w:smallCaps w:val="false"/>
          <w:sz w:val="20"/>
          <w:u w:val="single"/>
        </w:rPr>
        <w:t>Earnings Announcement</w:t>
      </w:r>
      <w:r>
        <w:rPr>
          <w:rFonts w:ascii="Times New Roman;Times;Serif" w:hAnsi="Times New Roman;Times;Serif"/>
          <w:b w:val="false"/>
          <w:i w:val="false"/>
          <w:caps w:val="false"/>
          <w:smallCaps w:val="false"/>
          <w:sz w:val="20"/>
        </w:rPr>
        <w:t>”) through and including the time that the Company files a Quarterly Report on Form 10-Q or an Annual Report on Form 10-K that includes consolidated financial statements as of and for the same period or periods, as the case may be, covered by such Earnings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Suspension of Sales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or TD Cowen may, upon notice to the other party in writing (including by email correspondence to each of the individuals of the other party set forth on </w:t>
      </w:r>
      <w:r>
        <w:rPr>
          <w:rFonts w:ascii="Times New Roman;Times;Serif" w:hAnsi="Times New Roman;Times;Serif"/>
          <w:b/>
          <w:i w:val="false"/>
          <w:caps w:val="false"/>
          <w:smallCaps w:val="false"/>
          <w:sz w:val="20"/>
          <w:u w:val="single"/>
        </w:rPr>
        <w:t>Schedule 2</w:t>
      </w:r>
      <w:r>
        <w:rPr>
          <w:rFonts w:ascii="Times New Roman;Times;Serif" w:hAnsi="Times New Roman;Times;Serif"/>
          <w:b w:val="false"/>
          <w:i w:val="false"/>
          <w:caps w:val="false"/>
          <w:smallCaps w:val="false"/>
          <w:sz w:val="20"/>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Times New Roman;Times;Serif" w:hAnsi="Times New Roman;Times;Serif"/>
          <w:b/>
          <w:i w:val="false"/>
          <w:caps w:val="false"/>
          <w:smallCaps w:val="false"/>
          <w:sz w:val="20"/>
          <w:u w:val="single"/>
        </w:rPr>
        <w:t>Schedule 2</w:t>
      </w:r>
      <w:r>
        <w:rPr>
          <w:rFonts w:ascii="Times New Roman;Times;Serif" w:hAnsi="Times New Roman;Times;Serif"/>
          <w:b w:val="false"/>
          <w:i w:val="false"/>
          <w:caps w:val="false"/>
          <w:smallCaps w:val="false"/>
          <w:sz w:val="20"/>
        </w:rPr>
        <w:t xml:space="preserve">), suspend any sale of Placement Shares;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such suspension shall not affect or impair either party’s obligations with respect to any Placement Shares sold hereunder prior to the receipt of such notice. While a suspension is in effect, any obligation under </w:t>
      </w:r>
      <w:r>
        <w:rPr>
          <w:rFonts w:ascii="Times New Roman;Times;Serif" w:hAnsi="Times New Roman;Times;Serif"/>
          <w:b w:val="false"/>
          <w:i w:val="false"/>
          <w:caps w:val="false"/>
          <w:smallCaps w:val="false"/>
          <w:sz w:val="20"/>
          <w:u w:val="single"/>
        </w:rPr>
        <w:t>Sections 7(l)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7(m)</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7(t)</w:t>
      </w:r>
      <w:r>
        <w:rPr>
          <w:rFonts w:ascii="Times New Roman;Times;Serif" w:hAnsi="Times New Roman;Times;Serif"/>
          <w:b w:val="false"/>
          <w:i w:val="false"/>
          <w:caps w:val="false"/>
          <w:smallCaps w:val="false"/>
          <w:sz w:val="20"/>
        </w:rPr>
        <w:t xml:space="preserve"> with respect to the delivery of certificates, opinions, or comfort letters to TD Cowen shall be waived. Each of the parties agrees that no such notice under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shall be effective against the other unless it is made to one of the individuals named on </w:t>
      </w:r>
      <w:r>
        <w:rPr>
          <w:rFonts w:ascii="Times New Roman;Times;Serif" w:hAnsi="Times New Roman;Times;Serif"/>
          <w:b/>
          <w:i w:val="false"/>
          <w:caps w:val="false"/>
          <w:smallCaps w:val="false"/>
          <w:sz w:val="20"/>
          <w:u w:val="single"/>
        </w:rPr>
        <w:t>Schedule 2</w:t>
      </w:r>
      <w:r>
        <w:rPr>
          <w:rFonts w:ascii="Times New Roman;Times;Serif" w:hAnsi="Times New Roman;Times;Serif"/>
          <w:b w:val="false"/>
          <w:i w:val="false"/>
          <w:caps w:val="false"/>
          <w:smallCaps w:val="false"/>
          <w:sz w:val="20"/>
        </w:rPr>
        <w:t xml:space="preserve"> hereto, as such schedule may be amended from time to time. Notwithstanding any other provision of this Agreement, during any period in which the Company is in possession of material non-public information, the Company and TD Cowen agree that (i) no sale of Placement Shares will take place, (ii) the Company shall not request the sale of any Placement Shares, and (iii) TD Cowen shall not be obligated to sell or offer to sell any Placement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either TD Cowen or the Company has reason to believe that the exemptive provisions set forth in Rule 101(c)(1) of Regulation M under the Exchange Act are not satisfied with respect to the Common Stock, it shall promptly notify the other party, and TD Cowen may, at its sole discretion, suspend sales of the Placement Shares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 other provision of this Agreement, during any period in which the Registration Statement is no longer effective under the Securities Act, the Company shall promptly notify TD Cowen, the Company shall not request the sale of any Placement Shares, and TD Cowen shall not be obligated to sell or offer to sell any Placement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Settlement of Placement Shares</w:t>
      </w:r>
      <w:r>
        <w:rPr>
          <w:rFonts w:ascii="Times New Roman;Times;Serif" w:hAnsi="Times New Roman;Times;Serif"/>
          <w:b w:val="false"/>
          <w:i w:val="false"/>
          <w:caps w:val="false"/>
          <w:smallCaps w:val="false"/>
          <w:sz w:val="20"/>
        </w:rPr>
        <w:t>. Unless otherwise specified in the applicable Placement Notice, settlement for sales of Placement Shares will occur on the first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Trading Day following the date on which such sales are made (each, a “</w:t>
      </w:r>
      <w:r>
        <w:rPr>
          <w:rFonts w:ascii="Times New Roman;Times;Serif" w:hAnsi="Times New Roman;Times;Serif"/>
          <w:b/>
          <w:i w:val="false"/>
          <w:caps w:val="false"/>
          <w:smallCaps w:val="false"/>
          <w:sz w:val="20"/>
          <w:u w:val="single"/>
        </w:rPr>
        <w:t>Settlement Date</w:t>
      </w:r>
      <w:r>
        <w:rPr>
          <w:rFonts w:ascii="Times New Roman;Times;Serif" w:hAnsi="Times New Roman;Times;Serif"/>
          <w:b w:val="false"/>
          <w:i w:val="false"/>
          <w:caps w:val="false"/>
          <w:smallCaps w:val="false"/>
          <w:sz w:val="20"/>
        </w:rPr>
        <w:t>” and the first such settlement date, the “</w:t>
      </w:r>
      <w:r>
        <w:rPr>
          <w:rFonts w:ascii="Times New Roman;Times;Serif" w:hAnsi="Times New Roman;Times;Serif"/>
          <w:b/>
          <w:i w:val="false"/>
          <w:caps w:val="false"/>
          <w:smallCaps w:val="false"/>
          <w:sz w:val="20"/>
          <w:u w:val="single"/>
        </w:rPr>
        <w:t>First Delivery Date</w:t>
      </w:r>
      <w:r>
        <w:rPr>
          <w:rFonts w:ascii="Times New Roman;Times;Serif" w:hAnsi="Times New Roman;Times;Serif"/>
          <w:b w:val="false"/>
          <w:i w:val="false"/>
          <w:caps w:val="false"/>
          <w:smallCaps w:val="false"/>
          <w:sz w:val="20"/>
        </w:rPr>
        <w:t>”). The amount of proceeds to be delivered to the Company on a Settlement Date against receipt of the Placement Shares sold (the “</w:t>
      </w:r>
      <w:r>
        <w:rPr>
          <w:rFonts w:ascii="Times New Roman;Times;Serif" w:hAnsi="Times New Roman;Times;Serif"/>
          <w:b/>
          <w:i w:val="false"/>
          <w:caps w:val="false"/>
          <w:smallCaps w:val="false"/>
          <w:sz w:val="20"/>
          <w:u w:val="single"/>
        </w:rPr>
        <w:t>Net Proceeds</w:t>
      </w:r>
      <w:r>
        <w:rPr>
          <w:rFonts w:ascii="Times New Roman;Times;Serif" w:hAnsi="Times New Roman;Times;Serif"/>
          <w:b w:val="false"/>
          <w:i w:val="false"/>
          <w:caps w:val="false"/>
          <w:smallCaps w:val="false"/>
          <w:sz w:val="20"/>
        </w:rPr>
        <w:t xml:space="preserve">”) will be equal to the aggregate sales price received by TD Cowen at which such Placement Shares were sold, after deduction for (i) TD Cowen’s commission, discount or other compensation for such sales payable by the Company pursuant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hereof, (ii) any other amounts due and payable by the Company to TD Cowen hereunder pursuant to </w:t>
      </w:r>
      <w:r>
        <w:rPr>
          <w:rFonts w:ascii="Times New Roman;Times;Serif" w:hAnsi="Times New Roman;Times;Serif"/>
          <w:b w:val="false"/>
          <w:i w:val="false"/>
          <w:caps w:val="false"/>
          <w:smallCaps w:val="false"/>
          <w:sz w:val="20"/>
          <w:u w:val="single"/>
        </w:rPr>
        <w:t>Section 7(g)</w:t>
      </w:r>
      <w:r>
        <w:rPr>
          <w:rFonts w:ascii="Times New Roman;Times;Serif" w:hAnsi="Times New Roman;Times;Serif"/>
          <w:b w:val="false"/>
          <w:i w:val="false"/>
          <w:caps w:val="false"/>
          <w:smallCaps w:val="false"/>
          <w:sz w:val="20"/>
        </w:rPr>
        <w:t> (Expenses) hereof, and (iii) any transaction fees imposed on TD Cowen by any governmental or self-regulatory organization in respect of such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Delivery of Placement Shares</w:t>
      </w:r>
      <w:r>
        <w:rPr>
          <w:rFonts w:ascii="Times New Roman;Times;Serif" w:hAnsi="Times New Roman;Times;Serif"/>
          <w:b w:val="false"/>
          <w:i w:val="false"/>
          <w:caps w:val="false"/>
          <w:smallCaps w:val="false"/>
          <w:sz w:val="20"/>
        </w:rPr>
        <w:t>. On or before each Settlement Date, the Company will, or will cause its transfer agent to, electronically transfer the Placement Shares being sold by crediting TD Cowen’s or its designee’s account (provided TD Cowen shall have given the Company written notice of such designee prior to the Settlement Date) at The Depository Trust Company through its Deposit and Withdrawal at Custodian System (“</w:t>
      </w:r>
      <w:r>
        <w:rPr>
          <w:rFonts w:ascii="Times New Roman;Times;Serif" w:hAnsi="Times New Roman;Times;Serif"/>
          <w:b/>
          <w:i w:val="false"/>
          <w:caps w:val="false"/>
          <w:smallCaps w:val="false"/>
          <w:sz w:val="20"/>
          <w:u w:val="single"/>
        </w:rPr>
        <w:t>DWAC</w:t>
      </w:r>
      <w:r>
        <w:rPr>
          <w:rFonts w:ascii="Times New Roman;Times;Serif" w:hAnsi="Times New Roman;Times;Serif"/>
          <w:b w:val="false"/>
          <w:i w:val="false"/>
          <w:caps w:val="false"/>
          <w:smallCaps w:val="false"/>
          <w:sz w:val="20"/>
        </w:rPr>
        <w:t xml:space="preserve">”) or by such other means of delivery as may be mutually agreed upon by the parties hereto which in all cases shall be freely tradeable, transferable, registered shares in good deliverable form. On each Settlement Date, TD Cowen will deliver the related Net Proceeds in same day funds to an account designated by the Company on, or prior to, the Settlement Date. TD Cowen shall be responsible for providing DWAC instructions or other instructions for delivery by other means with regard to the transfer of the Placement Shares. The Company agrees that if the Company, or its transfer agent (if applicable), defaults in its obligation to deliver duly authorized Placement Shares on a Settlement Date (other than as a result of a failure by TD Cowen to provide true and correct instructions for delivery in a timely manner), the Company agrees that in addition to and in no way limiting the rights and obligations set forth in </w:t>
      </w:r>
      <w:r>
        <w:rPr>
          <w:rFonts w:ascii="Times New Roman;Times;Serif" w:hAnsi="Times New Roman;Times;Serif"/>
          <w:b w:val="false"/>
          <w:i w:val="false"/>
          <w:caps w:val="false"/>
          <w:smallCaps w:val="false"/>
          <w:sz w:val="20"/>
          <w:u w:val="single"/>
        </w:rPr>
        <w:t>Section 10(a)</w:t>
      </w:r>
      <w:r>
        <w:rPr>
          <w:rFonts w:ascii="Times New Roman;Times;Serif" w:hAnsi="Times New Roman;Times;Serif"/>
          <w:b w:val="false"/>
          <w:i w:val="false"/>
          <w:caps w:val="false"/>
          <w:smallCaps w:val="false"/>
          <w:sz w:val="20"/>
        </w:rPr>
        <w:t> (Indemnification and Contribution) hereto, it will (i) hold TD Cowen harmless against any loss, claim, damage, or reasonable and documented expense (including reasonable and documented legal fees and expenses), as incurred, arising out of or in connection with such default by the Company and (ii) pay to TD Cowen (without duplication) any commission, discount, or other compensation to which it would otherwise have been entitled absent such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The Company represents and warrants to, and agrees with, TD Cowen that, unless such representation, warranty or agreement specifies otherwise, as of (i) the date of this Agreement, (ii) each Time of Sale (as defined below), (iii) each Settlement Date, and (iv) each Bring-Down Date (as defined below) (each date included in (i) through (iv), a “</w:t>
      </w:r>
      <w:r>
        <w:rPr>
          <w:rFonts w:ascii="Times New Roman;Times;Serif" w:hAnsi="Times New Roman;Times;Serif"/>
          <w:b/>
          <w:i w:val="false"/>
          <w:caps w:val="false"/>
          <w:smallCaps w:val="false"/>
          <w:sz w:val="20"/>
          <w:u w:val="single"/>
        </w:rPr>
        <w:t>Representation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Compliance with Registration Requirements</w:t>
      </w:r>
      <w:r>
        <w:rPr>
          <w:rFonts w:ascii="Times New Roman;Times;Serif" w:hAnsi="Times New Roman;Times;Serif"/>
          <w:b w:val="false"/>
          <w:i w:val="false"/>
          <w:caps w:val="false"/>
          <w:smallCaps w:val="false"/>
          <w:sz w:val="20"/>
        </w:rPr>
        <w:t>. The Company and the transactions contemplated by this Agreement meet the requirements for and comply with the applicable conditions set forth in Form S-3 (including General Instructions I.A and I.B) under the Securities Act. The Registration Statement has been or will be filed with the Commission and will be declared effective by the Commission under the Securities Act prior to the issuance of any Placement Notices by the Company. The Prospectus Supplement will name TD Cowen as the agent in the section entitled “Plan of Distribution.” The Company has not received, and has no notice of, any order of the Commission preventing or suspending the use of the Registration Statement, or threatening or instituting proceedings for that purpose. The Registration Statement and the offer and sale of Placement Shares as contemplated hereby meet the requirements of Rule 415 under the Securities Act and comply in all material respects with said Rule. Any statutes, regulations, contracts or other documents that are required to be described in the Registration Statement or the Prospectus or to be filed as exhibits to the Registration Statement have been so described or filed. Copies of the Registration Statement, the Prospectus, and any such amendments or supplements and all documents incorporated by reference therein that were filed with the Commission on or prior to the date of this Agreement have been delivered, or are available through EDGAR, to TD Cowen and its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 Misstatement or Omission</w:t>
      </w:r>
      <w:r>
        <w:rPr>
          <w:rFonts w:ascii="Times New Roman;Times;Serif" w:hAnsi="Times New Roman;Times;Serif"/>
          <w:b w:val="false"/>
          <w:i w:val="false"/>
          <w:caps w:val="false"/>
          <w:smallCaps w:val="false"/>
          <w:sz w:val="20"/>
        </w:rPr>
        <w:t>. The Registration Statement, when it became or becomes effective, and the Prospectus, and any amendment or supplement thereto, on the date of such Prospectus or amendment or supplement, conformed and will conform in all material respects with the requirements of the Securities Act. At each Settlement Date, the Registration Statement and the Prospectus, as of such date, will conform in all material respects with the requirements of the Securities Act. The Registration Statement, as of the date it became or becomes effective, did not, and will not, contain an untrue statement of a material fact or omit to state a material fact required to be stated therein or necessary to make the statements therein not misleading. The Prospectus and any amendment and supplement thereto, on the date thereof and at each Time of Sale (defined below), did not or will not include an untrue statement of a material fact or omit to state a material fact necessary to make the statements therein, in light of the circumstances under which they were made, not misleading. The documents incorporated by reference in the Prospectus or any Prospectus Supplement did not, and any further documents filed and incorporated by reference therein will not, when filed with the Commission, contain an untrue statement of a material fact or omit to state a material fact required to be stated in such document or necessary to make the statements in such document, in light of the circumstances under which they were made, not misleading. The foregoing shall not apply to statements in, or omissions from, any such document made in reliance upon, and in conformity with, information furnished to the Company by TD Cowen specifically for use in the preparation thereof. As used herein, “</w:t>
      </w:r>
      <w:r>
        <w:rPr>
          <w:rFonts w:ascii="Times New Roman;Times;Serif" w:hAnsi="Times New Roman;Times;Serif"/>
          <w:b/>
          <w:i w:val="false"/>
          <w:caps w:val="false"/>
          <w:smallCaps w:val="false"/>
          <w:sz w:val="20"/>
          <w:u w:val="single"/>
        </w:rPr>
        <w:t>Time of Sale</w:t>
      </w:r>
      <w:r>
        <w:rPr>
          <w:rFonts w:ascii="Times New Roman;Times;Serif" w:hAnsi="Times New Roman;Times;Serif"/>
          <w:b w:val="false"/>
          <w:i w:val="false"/>
          <w:caps w:val="false"/>
          <w:smallCaps w:val="false"/>
          <w:sz w:val="20"/>
        </w:rPr>
        <w:t>” means with respect to each offering of Placement Shares pursuant to this Agreement, the time of TD Cowen’s initial entry into contracts with purchasers for the sale of such Placement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Offering Materials Furnished to TD Cowen</w:t>
      </w:r>
      <w:r>
        <w:rPr>
          <w:rFonts w:ascii="Times New Roman;Times;Serif" w:hAnsi="Times New Roman;Times;Serif"/>
          <w:b w:val="false"/>
          <w:i w:val="false"/>
          <w:caps w:val="false"/>
          <w:smallCaps w:val="false"/>
          <w:sz w:val="20"/>
        </w:rPr>
        <w:t>. The Prospectus delivered to TD Cowen for use in connection with the sale of the Placement Shares pursuant to this Agreement will be identical to the versions of the Prospectus created to be transmitted to the Commission for filing via EDGAR, except to the extent permitted by Regulation 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Not an Ineligible Issuer</w:t>
      </w:r>
      <w:r>
        <w:rPr>
          <w:rFonts w:ascii="Times New Roman;Times;Serif" w:hAnsi="Times New Roman;Times;Serif"/>
          <w:b w:val="false"/>
          <w:i w:val="false"/>
          <w:caps w:val="false"/>
          <w:smallCaps w:val="false"/>
          <w:sz w:val="20"/>
        </w:rPr>
        <w:t>. The Company was not and is not an ineligible issuer as defined in Rule 405 under the Securities Act at the times specified in Rules 164 and 433 under the Securities Act in connection with the offering of the Placement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Distribution of Offering Material By the Company</w:t>
      </w:r>
      <w:r>
        <w:rPr>
          <w:rFonts w:ascii="Times New Roman;Times;Serif" w:hAnsi="Times New Roman;Times;Serif"/>
          <w:b w:val="false"/>
          <w:i w:val="false"/>
          <w:caps w:val="false"/>
          <w:smallCaps w:val="false"/>
          <w:sz w:val="20"/>
        </w:rPr>
        <w:t>. The Company has not distributed and, prior to the later to occur of each Settlement Date and completion of the distribution of the Placement Shares, will not distribute any offering material in connection with the offering or sale of the Placement Shares other than the Registration Statement and the Prospectus and any Permitted Free Writing Prospectus (as defined below) to which TD Cowen has consented, such consent not to be unreasonably withheld, conditioned or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The Sales Agreement</w:t>
      </w:r>
      <w:r>
        <w:rPr>
          <w:rFonts w:ascii="Times New Roman;Times;Serif" w:hAnsi="Times New Roman;Times;Serif"/>
          <w:b w:val="false"/>
          <w:i w:val="false"/>
          <w:caps w:val="false"/>
          <w:smallCaps w:val="false"/>
          <w:sz w:val="20"/>
        </w:rPr>
        <w:t>. The Company has all requisite corporate power and authority to execute, deliver and perform its obligations under this Agreement. This Agreement has been duly and validly authorized, executed and delivered by the Company and is a legal, valid and binding agreement of the Company enforceable in accordance with its terms, except to the extent that enforceability may be limited by bankruptcy, insolvency, reorganization, moratorium or similar laws affecting creditors’ rights generally and by general equitable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Authorization of the Common Stock</w:t>
      </w:r>
      <w:r>
        <w:rPr>
          <w:rFonts w:ascii="Times New Roman;Times;Serif" w:hAnsi="Times New Roman;Times;Serif"/>
          <w:b w:val="false"/>
          <w:i w:val="false"/>
          <w:caps w:val="false"/>
          <w:smallCaps w:val="false"/>
          <w:sz w:val="20"/>
        </w:rPr>
        <w:t>. The issue and sale of the Placement Shares, the execution, delivery and performance of this Agreement by the Company, the consummation of the transactions contemplated hereby and the application of the proceeds from the sale of the Placement Shares as described under “Use of Proceeds” in the Prospectus will not (i) conflict with or result in a breach or violation of any of the terms or provisions of, impose any lien, charge or encumbrance upon any property or assets of the Company and the Subsidiaries, or constitute a default under, any indenture, mortgage, deed of trust, loan agreement, license, lease or other agreement or instrument to which the Company or any of its subsidiaries (each a “</w:t>
      </w:r>
      <w:r>
        <w:rPr>
          <w:rFonts w:ascii="Times New Roman;Times;Serif" w:hAnsi="Times New Roman;Times;Serif"/>
          <w:b/>
          <w:i w:val="false"/>
          <w:caps w:val="false"/>
          <w:smallCaps w:val="false"/>
          <w:sz w:val="20"/>
          <w:u w:val="single"/>
        </w:rPr>
        <w:t>Subsidiary</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u w:val="single"/>
        </w:rPr>
        <w:t>Subsidiaries</w:t>
      </w:r>
      <w:r>
        <w:rPr>
          <w:rFonts w:ascii="Times New Roman;Times;Serif" w:hAnsi="Times New Roman;Times;Serif"/>
          <w:b w:val="false"/>
          <w:i w:val="false"/>
          <w:caps w:val="false"/>
          <w:smallCaps w:val="false"/>
          <w:sz w:val="20"/>
        </w:rPr>
        <w:t xml:space="preserve">”) is a party or by which the Company or any Subsidiary is bound or to which any of the property or assets of the Company or any Subsidiary is subject; (ii) result in any violation of the provisions of the articles of association, charter or by-laws (or similar organizational documents) of the Company or of any Subsidiary; or (iii) result in any violation of any statute or any judgment, order, decree, rule or regulation of any Governmental Authority having jurisdiction over the Company or any Subsidiary or any of their properties or assets, </w:t>
      </w:r>
      <w:r>
        <w:rPr>
          <w:rFonts w:ascii="Times New Roman;Times;Serif" w:hAnsi="Times New Roman;Times;Serif"/>
          <w:b w:val="false"/>
          <w:i/>
          <w:caps w:val="false"/>
          <w:smallCaps w:val="false"/>
          <w:sz w:val="20"/>
        </w:rPr>
        <w:t>except</w:t>
      </w:r>
      <w:r>
        <w:rPr>
          <w:rFonts w:ascii="Times New Roman;Times;Serif" w:hAnsi="Times New Roman;Times;Serif"/>
          <w:b w:val="false"/>
          <w:i w:val="false"/>
          <w:caps w:val="false"/>
          <w:smallCaps w:val="false"/>
          <w:sz w:val="20"/>
        </w:rPr>
        <w:t>, for purposes of clauses (i) and (iii) above, any such conflict, breach, violation, default, lien, charge or encumbrance that would not, individually or in the aggregate, reasonably be expected to have a Material Adverse Effect (as defined below). As used herein, “</w:t>
      </w:r>
      <w:r>
        <w:rPr>
          <w:rFonts w:ascii="Times New Roman;Times;Serif" w:hAnsi="Times New Roman;Times;Serif"/>
          <w:b/>
          <w:i w:val="false"/>
          <w:caps w:val="false"/>
          <w:smallCaps w:val="false"/>
          <w:sz w:val="20"/>
          <w:u w:val="single"/>
        </w:rPr>
        <w:t>Governmental Authority</w:t>
      </w:r>
      <w:r>
        <w:rPr>
          <w:rFonts w:ascii="Times New Roman;Times;Serif" w:hAnsi="Times New Roman;Times;Serif"/>
          <w:b w:val="false"/>
          <w:i w:val="false"/>
          <w:caps w:val="false"/>
          <w:smallCaps w:val="false"/>
          <w:sz w:val="20"/>
        </w:rPr>
        <w:t>” means (i) any federal, provincial, state, local, municipal, national or international government or governmental authority, regulatory or administrative agency, governmental commission, department, board, bureau, agency or instrumentality, court, tribunal, arbitrator or arbitral body (public or private); (ii) any self-regulatory organization; or (iii) any political subdivision of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No Applicable Registration or Other Similar Rights</w:t>
      </w:r>
      <w:r>
        <w:rPr>
          <w:rFonts w:ascii="Times New Roman;Times;Serif" w:hAnsi="Times New Roman;Times;Serif"/>
          <w:b w:val="false"/>
          <w:i w:val="false"/>
          <w:caps w:val="false"/>
          <w:smallCaps w:val="false"/>
          <w:sz w:val="20"/>
        </w:rPr>
        <w:t>. The Placement Shares, when issued and delivered pursuant to the terms approved by the board of directors of the Company or a duly authorized committee thereof, or a duly authorized executive committee, against payment therefor as provided herein, will be validly issued, fully paid and non-assessable, will conform in all material respects to the description thereof contained in the Prospectus, will be issued in compliance with U.S. federal and state securities laws, and will be free of statutory and contractual preemptive rights, rights of first refusal and any other similar rights of any shareholder.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Option Grants</w:t>
      </w:r>
      <w:r>
        <w:rPr>
          <w:rFonts w:ascii="Times New Roman;Times;Serif" w:hAnsi="Times New Roman;Times;Serif"/>
          <w:b w:val="false"/>
          <w:i w:val="false"/>
          <w:caps w:val="false"/>
          <w:smallCaps w:val="false"/>
          <w:sz w:val="20"/>
        </w:rPr>
        <w:t>. All grants and issuances of the Company’s shares to its or its Subsidiaries’ employees were made pursuant to the equity compensation plans of the Company. With respect to the options to purchase Company shares (the “</w:t>
      </w:r>
      <w:r>
        <w:rPr>
          <w:rFonts w:ascii="Times New Roman;Times;Serif" w:hAnsi="Times New Roman;Times;Serif"/>
          <w:b/>
          <w:i w:val="false"/>
          <w:caps w:val="false"/>
          <w:smallCaps w:val="false"/>
          <w:sz w:val="20"/>
          <w:u w:val="single"/>
        </w:rPr>
        <w:t>Stock Options</w:t>
      </w:r>
      <w:r>
        <w:rPr>
          <w:rFonts w:ascii="Times New Roman;Times;Serif" w:hAnsi="Times New Roman;Times;Serif"/>
          <w:b w:val="false"/>
          <w:i w:val="false"/>
          <w:caps w:val="false"/>
          <w:smallCaps w:val="false"/>
          <w:sz w:val="20"/>
        </w:rPr>
        <w:t>”), (i) to the Company’s knowledge, each Stock Option purported to be issued under Section 102 of the Israel Tax Ordinance qualifies for treatment under that section and for treatment under the capital gains track, (ii) to the Company’s knowledge, each Stock Option, if any, intended to qualify as an “incentive stock option” under Section 422 of the Internal Revenue Code of 1986, as amended (the “</w:t>
      </w:r>
      <w:r>
        <w:rPr>
          <w:rFonts w:ascii="Times New Roman;Times;Serif" w:hAnsi="Times New Roman;Times;Serif"/>
          <w:b/>
          <w:i w:val="false"/>
          <w:caps w:val="false"/>
          <w:smallCaps w:val="false"/>
          <w:sz w:val="20"/>
          <w:u w:val="single"/>
        </w:rPr>
        <w:t>Code</w:t>
      </w:r>
      <w:r>
        <w:rPr>
          <w:rFonts w:ascii="Times New Roman;Times;Serif" w:hAnsi="Times New Roman;Times;Serif"/>
          <w:b w:val="false"/>
          <w:i w:val="false"/>
          <w:caps w:val="false"/>
          <w:smallCaps w:val="false"/>
          <w:sz w:val="20"/>
        </w:rPr>
        <w:t>”), so qualifies, and (iii) each grant of a Stock Option was duly authorized no later than the date on which the grant of such Stock Option was by its terms to be effective by all necessary corporate action, including, as applicable, approval by the board of directors of the Company (or a duly constituted and authorized committee thereof) and any required shareholder approval by the necessary number of votes or written consents, or, if any such corporate action was taken after the effective grant date of any Stock Option, it authorized such Stock Option as of its effective grant date, and the award agreement governing such grant (if any) was duly executed and delivered by each party thereto. Except as disclosed in or contemplated by the Registration Statement or the Prospectus, as of the date referred to therein, the Company does not have outstanding any options to purchase, or any rights or warrants to subscribe for, or any securities or obligations convertible into, or exchangeable for, or any contracts or commitments to issue or sell, any shares of capital stock or other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No Material Adverse Effect</w:t>
      </w:r>
      <w:r>
        <w:rPr>
          <w:rFonts w:ascii="Times New Roman;Times;Serif" w:hAnsi="Times New Roman;Times;Serif"/>
          <w:b w:val="false"/>
          <w:i w:val="false"/>
          <w:caps w:val="false"/>
          <w:smallCaps w:val="false"/>
          <w:sz w:val="20"/>
        </w:rPr>
        <w:t>. Since the date of the latest audited financial statements included or incorporated by reference in the Prospectus, neither the Company nor any of its Subsidiaries has (i) sustained any loss or interference with its business from fire, explosion, flood or other calamity, whether or not covered by insurance, or from any labor dispute or court or governmental action, order or decree, (ii) issued or granted any securities, except as set forth or contemplated in the Registration Statement or the Prospectus, (iii) incurred any material liability or obligation, direct or contingent, other than liabilities and obligations that were incurred in the ordinary course of business or otherwise set forth or contemplated in the Registration Statement or the Prospectus, (iv) entered into any material transaction not in the ordinary course of business, except as set forth or contemplated in the Registration Statement or the Prospectus, or (v) declared or paid any dividend on its share capital, and since such date there has not been any change in the share capital (other than the issuance of shares of Common Stock, if any, pursuant to employee incentive plans described in the Registration Statement or the Prospectus) or in long-term debt of the Company or its Subsidiaries (other than as described in the Registration Statement or the Prospectus), or any adverse change or any development involving a prospective adverse change in or affecting the condition (financial or otherwise), results of operations, shareholders’ equity, properties, management, business or prospects of the Company and its Subsidiaries taken as a whole, in each case except as could not,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Independent Accountants</w:t>
      </w:r>
      <w:r>
        <w:rPr>
          <w:rFonts w:ascii="Times New Roman;Times;Serif" w:hAnsi="Times New Roman;Times;Serif"/>
          <w:b w:val="false"/>
          <w:i w:val="false"/>
          <w:caps w:val="false"/>
          <w:smallCaps w:val="false"/>
          <w:sz w:val="20"/>
        </w:rPr>
        <w:t>. Baker Tilly US, LLP (“</w:t>
      </w:r>
      <w:r>
        <w:rPr>
          <w:rFonts w:ascii="Times New Roman;Times;Serif" w:hAnsi="Times New Roman;Times;Serif"/>
          <w:b/>
          <w:i w:val="false"/>
          <w:caps w:val="false"/>
          <w:smallCaps w:val="false"/>
          <w:sz w:val="20"/>
          <w:u w:val="single"/>
        </w:rPr>
        <w:t>Baker Tilly</w:t>
      </w:r>
      <w:r>
        <w:rPr>
          <w:rFonts w:ascii="Times New Roman;Times;Serif" w:hAnsi="Times New Roman;Times;Serif"/>
          <w:b w:val="false"/>
          <w:i w:val="false"/>
          <w:caps w:val="false"/>
          <w:smallCaps w:val="false"/>
          <w:sz w:val="20"/>
        </w:rPr>
        <w:t>”), the Company’s auditor for the fiscal year ended December 31, 2025, are independent public accountants as required by the Securities Act and Securities Act regulations. To the Company’s knowledge, Baker Tilly is not in violation of the auditor independence requirements of the Sarbanes-Oxley Act with respect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Internal Controls</w:t>
      </w:r>
      <w:r>
        <w:rPr>
          <w:rFonts w:ascii="Times New Roman;Times;Serif" w:hAnsi="Times New Roman;Times;Serif"/>
          <w:b w:val="false"/>
          <w:i w:val="false"/>
          <w:caps w:val="false"/>
          <w:smallCaps w:val="false"/>
          <w:sz w:val="20"/>
        </w:rPr>
        <w:t>. Since the date of the most recent balance sheet of the Company reviewed or audited by Baker Tilly, the Company has not been advised of or become aware of any fraud, whether or not material, that involves management or other employees who have a significant role in the internal controls of the Company and the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Sarbanes-Oxley Act.</w:t>
      </w:r>
      <w:r>
        <w:rPr>
          <w:rFonts w:ascii="Times New Roman;Times;Serif" w:hAnsi="Times New Roman;Times;Serif"/>
          <w:b w:val="false"/>
          <w:i w:val="false"/>
          <w:caps w:val="false"/>
          <w:smallCaps w:val="false"/>
          <w:sz w:val="20"/>
        </w:rPr>
        <w:t xml:space="preserve"> There is and has been no failure on the part of the Company, its Subsidiaries and any of the Company’s directors or officers, in their capacities as such, to comply with any provision of the Sarbanes-Oxley Act and the rules and regulations promulgated in connection therewith which are applicable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Preparation of the Financial Statements</w:t>
      </w:r>
      <w:r>
        <w:rPr>
          <w:rFonts w:ascii="Times New Roman;Times;Serif" w:hAnsi="Times New Roman;Times;Serif"/>
          <w:b w:val="false"/>
          <w:i w:val="false"/>
          <w:caps w:val="false"/>
          <w:smallCaps w:val="false"/>
          <w:sz w:val="20"/>
        </w:rPr>
        <w:t>. The historical financial statements (including the related notes and supporting schedules) included or incorporated by reference in the Registration Statement, the Prospectus and the Permitted Free Writing Prospectuses, if any, comply as to form in all material respects with the requirements of Regulation S-X under the Securities Act and present fairly in all material respects the financial condition, results of operations and cash flows of the entities purported to be shown thereby at the dates and for the periods indicated and have been prepared in conformity in all material respects with accounting principles generally accepted in the United States (“</w:t>
      </w:r>
      <w:r>
        <w:rPr>
          <w:rFonts w:ascii="Times New Roman;Times;Serif" w:hAnsi="Times New Roman;Times;Serif"/>
          <w:b/>
          <w:i w:val="false"/>
          <w:caps w:val="false"/>
          <w:smallCaps w:val="false"/>
          <w:sz w:val="20"/>
          <w:u w:val="single"/>
        </w:rPr>
        <w:t>GAAP</w:t>
      </w:r>
      <w:r>
        <w:rPr>
          <w:rFonts w:ascii="Times New Roman;Times;Serif" w:hAnsi="Times New Roman;Times;Serif"/>
          <w:b w:val="false"/>
          <w:i w:val="false"/>
          <w:caps w:val="false"/>
          <w:smallCaps w:val="false"/>
          <w:sz w:val="20"/>
        </w:rPr>
        <w:t>”) applied on a consistent basis throughout the periods involved. The pro forma financial statements (including the notes thereto) or other pro forma financial information included in the Prospectus (i) comply as to form in all material respects with the applicable requirements of Regulation S-X, (ii) have been prepared in accordance with the Commission’s applicable rules and guidelines with respect to pro forma financial statements and (iii) have been properly computed and presented on the bases described therein; and the assumptions used in preparing the pro forma financial statements or other pro forma financial information included in the Prospectus provide a reasonable basis for presenting the significant effects directly attributable to the transactions or events described therein, the related pro forma adjustments give appropriate effect to those assumptions, and the pro forma columns therein reflect the proper application of those adjustments to the corresponding historical financial statement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Title to Property</w:t>
      </w:r>
      <w:r>
        <w:rPr>
          <w:rFonts w:ascii="Times New Roman;Times;Serif" w:hAnsi="Times New Roman;Times;Serif"/>
          <w:b w:val="false"/>
          <w:i w:val="false"/>
          <w:caps w:val="false"/>
          <w:smallCaps w:val="false"/>
          <w:sz w:val="20"/>
        </w:rPr>
        <w:t>. The Company and its Subsidiaries have good and marketable title to all personal property owned by them, in each case free and clear of all liens, encumbrances and defects, except such liens, encumbrances and defects as are described in the Registration Statement or the Prospectus or such as would not materially affect the value of such property and do not materially interfere with the use made and proposed to be made of such property by the Company and its Subsidiaries. All assets held under lease by the Company and its Subsidiaries are held by them under valid, subsisting and enforceable leases, with such exceptions as do not materially interfere with the use made and proposed to be made of such assets by the Company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XBRL</w:t>
      </w:r>
      <w:r>
        <w:rPr>
          <w:rFonts w:ascii="Times New Roman;Times;Serif" w:hAnsi="Times New Roman;Times;Serif"/>
          <w:b w:val="false"/>
          <w:i w:val="false"/>
          <w:caps w:val="false"/>
          <w:smallCaps w:val="false"/>
          <w:sz w:val="20"/>
        </w:rPr>
        <w:t>. The interactive data in eXtensible Business Reporting Language included or incorporated by reference in the Registration Statement and the Prospectus fairly present the information called for in all material respects and are prepared in accordance with the Commission’s rules and guidelines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Incorporation and Good Standing of the Company and its Subsidiaries</w:t>
      </w:r>
      <w:r>
        <w:rPr>
          <w:rFonts w:ascii="Times New Roman;Times;Serif" w:hAnsi="Times New Roman;Times;Serif"/>
          <w:b w:val="false"/>
          <w:i w:val="false"/>
          <w:caps w:val="false"/>
          <w:smallCaps w:val="false"/>
          <w:sz w:val="20"/>
        </w:rPr>
        <w:t>. Each of the Company and its Subsidiaries has been duly organized, is validly existing and in good standing (where such concept is applicable) as a corporation or other business entity under the laws of its jurisdiction of organization and is duly qualified to do business and in good standing (where such concept is applicable) as a foreign corporation or other business entity in each jurisdiction in which its ownership or lease of property or the conduct of its businesses requires such qualification, except where the failure to be so qualified or in good standing could not, in the aggregate, reasonably be expected to have a material adverse effect on the condition (financial or otherwise), results of operations, shareholders’ equity, properties, business or prospects of the Company and its Subsidiaries taken as a whole (a “</w:t>
      </w:r>
      <w:r>
        <w:rPr>
          <w:rFonts w:ascii="Times New Roman;Times;Serif" w:hAnsi="Times New Roman;Times;Serif"/>
          <w:b/>
          <w:i w:val="false"/>
          <w:caps w:val="false"/>
          <w:smallCaps w:val="false"/>
          <w:sz w:val="20"/>
          <w:u w:val="single"/>
        </w:rPr>
        <w:t>Material Adverse Effect</w:t>
      </w:r>
      <w:r>
        <w:rPr>
          <w:rFonts w:ascii="Times New Roman;Times;Serif" w:hAnsi="Times New Roman;Times;Serif"/>
          <w:b w:val="false"/>
          <w:i w:val="false"/>
          <w:caps w:val="false"/>
          <w:smallCaps w:val="false"/>
          <w:sz w:val="20"/>
        </w:rPr>
        <w:t>”).  The Company does not own or control, directly or indirectly, any corporation, association or other entity other than the subsidiaries listed in Exhibit 21.1 to the Company’s Annual Report on Form 10-K for the most recently ended fiscal year and other than (i) those subsidiaries not required to be listed on Exhibit 21.1 by Item 601 of Regulation S-K under the Exchange Act and (ii) those subsidiaries formed since the last day of the most recently ended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val="false"/>
          <w:caps w:val="false"/>
          <w:smallCaps w:val="false"/>
          <w:sz w:val="20"/>
          <w:u w:val="single"/>
        </w:rPr>
        <w:t>Capital Stock Matters</w:t>
      </w:r>
      <w:r>
        <w:rPr>
          <w:rFonts w:ascii="Times New Roman;Times;Serif" w:hAnsi="Times New Roman;Times;Serif"/>
          <w:b w:val="false"/>
          <w:i w:val="false"/>
          <w:caps w:val="false"/>
          <w:smallCaps w:val="false"/>
          <w:sz w:val="20"/>
        </w:rPr>
        <w:t>. Except as disclosed in the Registration Statement and the Prospectus, the Company has an authorized capitalization as set forth in the latest balance sheet incorporated by reference in the Registration Statement and the Prospectus, and all of the issued shares of capital stock of the Company have been duly and validly authorized and issued, are fully paid and non-assessable, have been issued in compliance with federal and state securities laws, and conform to the description thereof contained in the Prospectus. All of the Company’s options, warrants and other rights to purchase or exchange any securities for shares of the Company’s capital stock have been duly and validly authorized and issued and were issued in compliance with federal and state securities laws. None of the outstanding shares of Common Stock was issued in violation of any preemptive rights, rights of first refusal or other similar rights to subscribe for or purchase securities of the Company. All of the Company’s options, warrants and other rights to purchase or exchange any securities for shares of the Company have been duly authorized and validly issued, and conform to the description thereof contained in the Registration Statement and the Prospectus. The description of the Company’s stock option, stock bonus and other stock plans or arrangements, and the options or other rights granted thereunder, as described in the Prospectus, accurately and fairly presents the information required to be shown with respect to such plans, arrangements, options and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val="false"/>
          <w:caps w:val="false"/>
          <w:smallCaps w:val="false"/>
          <w:sz w:val="20"/>
          <w:u w:val="single"/>
        </w:rPr>
        <w:t>Non-Contravention of Existing Instruments; No Further Authorizations or Approvals Required</w:t>
      </w:r>
      <w:r>
        <w:rPr>
          <w:rFonts w:ascii="Times New Roman;Times;Serif" w:hAnsi="Times New Roman;Times;Serif"/>
          <w:b w:val="false"/>
          <w:i w:val="false"/>
          <w:caps w:val="false"/>
          <w:smallCaps w:val="false"/>
          <w:sz w:val="20"/>
        </w:rPr>
        <w:t>. No consent, approval, authorization or order of, or filing, registration or qualification with, any Governmental Authority having jurisdiction over the Company or any Subsidiary or any of their properties or assets is required for the issue and sale of the Placement Shares, the execution, delivery and performance of this Agreement by the Company, the consummation of the transactions contemplated hereby, the application of the proceeds from the sale of the Placement Shares as described under “Use of Proceeds” in the Prospectus, except for (i) the registration of the Placement Shares under the Securities Act; (ii) such consents, approvals, authorizations, orders, filings, registrations or qualifications as may be required under the Exchange Act, and applicable state or foreign securities laws or the bylaws and rules of the Financial Industry Regulatory Authority (“</w:t>
      </w:r>
      <w:r>
        <w:rPr>
          <w:rFonts w:ascii="Times New Roman;Times;Serif" w:hAnsi="Times New Roman;Times;Serif"/>
          <w:b/>
          <w:i w:val="false"/>
          <w:caps w:val="false"/>
          <w:smallCaps w:val="false"/>
          <w:sz w:val="20"/>
          <w:u w:val="single"/>
        </w:rPr>
        <w:t>FINRA</w:t>
      </w:r>
      <w:r>
        <w:rPr>
          <w:rFonts w:ascii="Times New Roman;Times;Serif" w:hAnsi="Times New Roman;Times;Serif"/>
          <w:b w:val="false"/>
          <w:i w:val="false"/>
          <w:caps w:val="false"/>
          <w:smallCaps w:val="false"/>
          <w:sz w:val="20"/>
        </w:rPr>
        <w:t>”) in connection with the sale of the Placement Shares by TD Cowen; and (iii) the transaction notification to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val="false"/>
          <w:caps w:val="false"/>
          <w:smallCaps w:val="false"/>
          <w:sz w:val="20"/>
          <w:u w:val="single"/>
        </w:rPr>
        <w:t>No Material Actions or Proceedings</w:t>
      </w:r>
      <w:r>
        <w:rPr>
          <w:rFonts w:ascii="Times New Roman;Times;Serif" w:hAnsi="Times New Roman;Times;Serif"/>
          <w:b w:val="false"/>
          <w:i w:val="false"/>
          <w:caps w:val="false"/>
          <w:smallCaps w:val="false"/>
          <w:sz w:val="20"/>
        </w:rPr>
        <w:t>. Except as disclosed in the Registration Statement or the Prospectus, there are no legal or governmental proceedings pending to which the Company or any of its Subsidiaries is a party or of which any property or assets of the Company or any Subsidiary is the subject that could, in the aggregate, reasonably be expected to have a Material Adverse Effect or could, in the aggregate, reasonably be expected to have a material adverse effect on the performance of this Agreement or the consummation of the transactions contemplated hereby; and to the Company’s knowledge, no such proceedings are threatened or contemplated by Governmental Authorities or 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All Necessary Permits, etc</w:t>
      </w:r>
      <w:r>
        <w:rPr>
          <w:rFonts w:ascii="Times New Roman;Times;Serif" w:hAnsi="Times New Roman;Times;Serif"/>
          <w:b w:val="false"/>
          <w:i w:val="false"/>
          <w:caps w:val="false"/>
          <w:smallCaps w:val="false"/>
          <w:sz w:val="20"/>
        </w:rPr>
        <w:t>. The Company and its Subsidiaries possess such valid and current certificates, registrations, approvals, authorizations or permits required by state, federal or foreign, including Israeli, regulatory agencies or bodies to conduct their respective businesses as currently conducted and as described in the Registration Statement or the Prospectus (“</w:t>
      </w:r>
      <w:r>
        <w:rPr>
          <w:rFonts w:ascii="Times New Roman;Times;Serif" w:hAnsi="Times New Roman;Times;Serif"/>
          <w:b/>
          <w:i w:val="false"/>
          <w:caps w:val="false"/>
          <w:smallCaps w:val="false"/>
          <w:sz w:val="20"/>
          <w:u w:val="single"/>
        </w:rPr>
        <w:t>Permits</w:t>
      </w:r>
      <w:r>
        <w:rPr>
          <w:rFonts w:ascii="Times New Roman;Times;Serif" w:hAnsi="Times New Roman;Times;Serif"/>
          <w:b w:val="false"/>
          <w:i w:val="false"/>
          <w:caps w:val="false"/>
          <w:smallCaps w:val="false"/>
          <w:sz w:val="20"/>
        </w:rPr>
        <w:t>”), except where the failure to possess any Permits would not, individually or in the aggregate, reasonably be expected to have a Material Adverse Effect.  Neither the Company nor any of its Subsidiaries is in violation of, or in default under, any of the Permits, except as would not, individually or in the aggregate, reasonably be expected to have a Material Adverse Effect, nor has the Company or any of its Subsidiaries received any notice of proceedings relating to the revocation or modification of, or non-compliance with, any such material Permit.  Neither the Company nor any of its Subsidiaries has received any notice of proceedings relating to the revocation or modification of any Permits which, singly or in the aggregate, if the subject of an unfavorable decision, ruling or finding, would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val="false"/>
          <w:caps w:val="false"/>
          <w:smallCaps w:val="false"/>
          <w:sz w:val="20"/>
          <w:u w:val="single"/>
        </w:rPr>
        <w:t>Tax Law Compliance</w:t>
      </w:r>
      <w:r>
        <w:rPr>
          <w:rFonts w:ascii="Times New Roman;Times;Serif" w:hAnsi="Times New Roman;Times;Serif"/>
          <w:b w:val="false"/>
          <w:i w:val="false"/>
          <w:caps w:val="false"/>
          <w:smallCaps w:val="false"/>
          <w:sz w:val="20"/>
        </w:rPr>
        <w:t>. The Company and its Subsidiaries have filed all federal, state, local and foreign tax returns required to be filed through the date hereof, subject to permitted extensions, and have paid all taxes due, and no tax deficiency has been determined adversely to the Company or any of its Subsidiaries, nor does the Company have any knowledge of any tax deficiencies that have been, or could reasonably be expected to be asserted against the Company, in each case that could,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Company Not an “Investment Company</w:t>
      </w:r>
      <w:r>
        <w:rPr>
          <w:rFonts w:ascii="Times New Roman;Times;Serif" w:hAnsi="Times New Roman;Times;Serif"/>
          <w:b w:val="false"/>
          <w:i w:val="false"/>
          <w:caps w:val="false"/>
          <w:smallCaps w:val="false"/>
          <w:sz w:val="20"/>
        </w:rPr>
        <w:t>”. Neither the Company nor any of its Subsidiaries is, and, after giving effect to the offer and sale of the Placement Shares and the application of the proceeds therefrom as described under “Use of Proceeds” in the Prospectus, none of them will be, (i) an “investment company” or a company “controlled” by an “investment company” within the meaning of the Investment Company Act of 1940, as amended (the “</w:t>
      </w:r>
      <w:r>
        <w:rPr>
          <w:rFonts w:ascii="Times New Roman;Times;Serif" w:hAnsi="Times New Roman;Times;Serif"/>
          <w:b/>
          <w:i w:val="false"/>
          <w:caps w:val="false"/>
          <w:smallCaps w:val="false"/>
          <w:sz w:val="20"/>
          <w:u w:val="single"/>
        </w:rPr>
        <w:t>Investment Company Act</w:t>
      </w:r>
      <w:r>
        <w:rPr>
          <w:rFonts w:ascii="Times New Roman;Times;Serif" w:hAnsi="Times New Roman;Times;Serif"/>
          <w:b w:val="false"/>
          <w:i w:val="false"/>
          <w:caps w:val="false"/>
          <w:smallCaps w:val="false"/>
          <w:sz w:val="20"/>
        </w:rPr>
        <w:t>”), and the rules and regulations of the Commission thereunder, or (ii) a “business development company” (as defined in Section 2(a)(48) of the Investment Company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and each of its Subsidiaries carry, or are covered by, insurance from insurers of recognized financial responsibility in such amounts and covering such risks as is adequate for the conduct of their respective businesses and the value of their respective properties and as is customary for companies engaged in similar businesses in similar industries at a similar stage of development.  All policies of insurance of the Company and each of its Subsidiaries are in full force and effect; the Company and each of its Subsidiaries are in compliance with the terms of such policies in all material respects; and neither the Company nor any of its Subsidiaries has received notice from any insurer or agent of such insurer that capital improvements or other expenditures are required or necessary to be made in order to continue such insurance; there are no claims by the Company or any of its Subsidiaries under any such policy or instrument as to which any insurance company is denying liability or defending under a reservation of rights clause; and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could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val="false"/>
          <w:i w:val="false"/>
          <w:caps w:val="false"/>
          <w:smallCaps w:val="false"/>
          <w:sz w:val="20"/>
          <w:u w:val="single"/>
        </w:rPr>
        <w:t>No Price Stabilization or Manipulation</w:t>
      </w:r>
      <w:r>
        <w:rPr>
          <w:rFonts w:ascii="Times New Roman;Times;Serif" w:hAnsi="Times New Roman;Times;Serif"/>
          <w:b w:val="false"/>
          <w:i w:val="false"/>
          <w:caps w:val="false"/>
          <w:smallCaps w:val="false"/>
          <w:sz w:val="20"/>
        </w:rPr>
        <w:t>. The Company and its affiliates have not taken, directly or indirectly, any action designed to or that has constituted or that could reasonably be expected to cause or result in the stabilization or manipulation of the price of any security of the Company in connection with the offering of the Placement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val="false"/>
          <w:i w:val="false"/>
          <w:caps w:val="false"/>
          <w:smallCaps w:val="false"/>
          <w:sz w:val="20"/>
          <w:u w:val="single"/>
        </w:rPr>
        <w:t>Related Party Transactions</w:t>
      </w:r>
      <w:r>
        <w:rPr>
          <w:rFonts w:ascii="Times New Roman;Times;Serif" w:hAnsi="Times New Roman;Times;Serif"/>
          <w:b w:val="false"/>
          <w:i w:val="false"/>
          <w:caps w:val="false"/>
          <w:smallCaps w:val="false"/>
          <w:sz w:val="20"/>
        </w:rPr>
        <w:t>. No relationship, direct or indirect, exists between or among the Company, on the one hand, and the directors, officers, shareholders, customers or suppliers of the Company, on the other hand, that is required to be described in the Prospectus, in the Company’s most recent Annual Report on Form 10-K or in the Company’s most recent Definitive Proxy Statement on Schedule 14A which is not so described.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val="false"/>
          <w:i w:val="false"/>
          <w:caps w:val="false"/>
          <w:smallCaps w:val="false"/>
          <w:sz w:val="20"/>
          <w:u w:val="single"/>
        </w:rPr>
        <w:t>Exchange Act Compliance</w:t>
      </w:r>
      <w:r>
        <w:rPr>
          <w:rFonts w:ascii="Times New Roman;Times;Serif" w:hAnsi="Times New Roman;Times;Serif"/>
          <w:b w:val="false"/>
          <w:i w:val="false"/>
          <w:caps w:val="false"/>
          <w:smallCaps w:val="false"/>
          <w:sz w:val="20"/>
        </w:rPr>
        <w:t>. The Registration Statement, the Prospectus, any Permitted Free Writing Prospectus or any amendment or supplement thereto, and the documents incorporated by reference in the Registration Statement, the Prospectus or any amendment or supplement thereto, when such documents were or are filed with the Commission under the Securities Act or the Exchange Act or became or become effective under the Securities Act, as the case may be, conformed or will conform in all material respects with the requirements of the Securities Act and the Exchange Act,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t>
      </w:r>
      <w:r>
        <w:rPr>
          <w:rFonts w:ascii="Times New Roman;Times;Serif" w:hAnsi="Times New Roman;Times;Serif"/>
          <w:b w:val="false"/>
          <w:i w:val="false"/>
          <w:caps w:val="false"/>
          <w:smallCaps w:val="false"/>
          <w:sz w:val="20"/>
          <w:u w:val="single"/>
        </w:rPr>
        <w:t>No Unlawful Contributions or Other Payments</w:t>
      </w:r>
      <w:r>
        <w:rPr>
          <w:rFonts w:ascii="Times New Roman;Times;Serif" w:hAnsi="Times New Roman;Times;Serif"/>
          <w:b w:val="false"/>
          <w:i w:val="false"/>
          <w:caps w:val="false"/>
          <w:smallCaps w:val="false"/>
          <w:sz w:val="20"/>
        </w:rPr>
        <w:t>. Neither the Company nor any of its Subsidiaries nor, to the Company’s knowledge, any director, officer, employee, agent, affiliate or other person acting on behalf of the Company or any Subsidiary, has (i) used any corporate funds for unlawful contributions, gifts, entertainment or other unlawful expenses relating to political activity, (ii) made any direct or indirect unlawful payment to foreign or domestic government officials or employees, political parties or campaigns, political party officials, or candidates for political office from corporate funds, (iii) violated or is in violation of any provision of the U.S. Foreign Corrupt Practices Act of 1977, as amended, or any applicable anti-corruption laws, rules, or regulation of any other jurisdiction in which the Company or any Subsidiary conducts business, or (iv) made any other unlawful bribe, rebate, payoff, influence payment, kickback, or other unlawful payment to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w:t>
      </w:r>
      <w:r>
        <w:rPr>
          <w:rFonts w:ascii="Times New Roman;Times;Serif" w:hAnsi="Times New Roman;Times;Serif"/>
          <w:b w:val="false"/>
          <w:i w:val="false"/>
          <w:caps w:val="false"/>
          <w:smallCaps w:val="false"/>
          <w:sz w:val="20"/>
          <w:u w:val="single"/>
        </w:rPr>
        <w:t>Compliance with Money Laundering Laws</w:t>
      </w:r>
      <w:r>
        <w:rPr>
          <w:rFonts w:ascii="Times New Roman;Times;Serif" w:hAnsi="Times New Roman;Times;Serif"/>
          <w:b w:val="false"/>
          <w:i w:val="false"/>
          <w:caps w:val="false"/>
          <w:smallCaps w:val="false"/>
          <w:sz w:val="20"/>
        </w:rPr>
        <w:t>. The operations of the Company and each of its Subsidiaries are and have been conducted at all times in compliance with applicable financial recordkeeping and reporting requirements of the Currency and Foreign Transactions Reporting Act of 1970, as amended, the money laundering statutes of all jurisdictions in which the Company and its Subsidiaries conduct business, the rules and regulations thereunder and any related or similar rules, regulations or guidelines, issued, administered or enforced by any Governmental Authority (collectively, the “</w:t>
      </w:r>
      <w:r>
        <w:rPr>
          <w:rFonts w:ascii="Times New Roman;Times;Serif" w:hAnsi="Times New Roman;Times;Serif"/>
          <w:b/>
          <w:i w:val="false"/>
          <w:caps w:val="false"/>
          <w:smallCaps w:val="false"/>
          <w:sz w:val="20"/>
          <w:u w:val="single"/>
        </w:rPr>
        <w:t>Money Laundering Laws</w:t>
      </w:r>
      <w:r>
        <w:rPr>
          <w:rFonts w:ascii="Times New Roman;Times;Serif" w:hAnsi="Times New Roman;Times;Serif"/>
          <w:b w:val="false"/>
          <w:i w:val="false"/>
          <w:caps w:val="false"/>
          <w:smallCaps w:val="false"/>
          <w:sz w:val="20"/>
        </w:rPr>
        <w:t>”) and no action, suit or proceeding by or before any court or Governmental Authority involving the Company or any of its Subsidiaries with respect to the Money Laundering Laws is pending or, to the knowledge of the Company,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w:t>
      </w:r>
      <w:r>
        <w:rPr>
          <w:rFonts w:ascii="Times New Roman;Times;Serif" w:hAnsi="Times New Roman;Times;Serif"/>
          <w:b w:val="false"/>
          <w:i w:val="false"/>
          <w:caps w:val="false"/>
          <w:smallCaps w:val="false"/>
          <w:sz w:val="20"/>
          <w:u w:val="single"/>
        </w:rPr>
        <w:t>Compliance with OFAC</w:t>
      </w:r>
      <w:r>
        <w:rPr>
          <w:rFonts w:ascii="Times New Roman;Times;Serif" w:hAnsi="Times New Roman;Times;Serif"/>
          <w:b w:val="false"/>
          <w:i w:val="false"/>
          <w:caps w:val="false"/>
          <w:smallCaps w:val="false"/>
          <w:sz w:val="20"/>
        </w:rPr>
        <w:t>. Neither the Company nor any of its Subsidiaries nor, to the knowledge of the Company, any director, officer, agent, employee, affiliate or representative of the Company or any of its Subsidiaries is an individual or entity (“</w:t>
      </w:r>
      <w:r>
        <w:rPr>
          <w:rFonts w:ascii="Times New Roman;Times;Serif" w:hAnsi="Times New Roman;Times;Serif"/>
          <w:b/>
          <w:i w:val="false"/>
          <w:caps w:val="false"/>
          <w:smallCaps w:val="false"/>
          <w:sz w:val="20"/>
          <w:u w:val="single"/>
        </w:rPr>
        <w:t>Person</w:t>
      </w:r>
      <w:r>
        <w:rPr>
          <w:rFonts w:ascii="Times New Roman;Times;Serif" w:hAnsi="Times New Roman;Times;Serif"/>
          <w:b w:val="false"/>
          <w:i w:val="false"/>
          <w:caps w:val="false"/>
          <w:smallCaps w:val="false"/>
          <w:sz w:val="20"/>
        </w:rPr>
        <w:t>”) currently the subject or target of any sanctions administered or enforced by the United States Government, including, without limitation, the U.S. Department of the Treasury’s Office of Foreign Assets Control and the U.S. Department of State, the United Nations Security Council, the European Union or His Majesty’s Treasury (collectively, “</w:t>
      </w:r>
      <w:r>
        <w:rPr>
          <w:rFonts w:ascii="Times New Roman;Times;Serif" w:hAnsi="Times New Roman;Times;Serif"/>
          <w:b/>
          <w:i w:val="false"/>
          <w:caps w:val="false"/>
          <w:smallCaps w:val="false"/>
          <w:sz w:val="20"/>
          <w:u w:val="single"/>
        </w:rPr>
        <w:t>Sanctions</w:t>
      </w:r>
      <w:r>
        <w:rPr>
          <w:rFonts w:ascii="Times New Roman;Times;Serif" w:hAnsi="Times New Roman;Times;Serif"/>
          <w:b w:val="false"/>
          <w:i w:val="false"/>
          <w:caps w:val="false"/>
          <w:smallCaps w:val="false"/>
          <w:sz w:val="20"/>
        </w:rPr>
        <w:t>”), nor is the Company located, organized or resident in a country or territory that is the subject of Sanctions; and the Company will not, directly or indirectly, use the proceeds of the sale of the Placement Shares, or lend, contribute or otherwise make available such proceeds to its Subsidiaries, joint venture partners or other Person, to fund any activities of or business with any Person, or in any country or territory that, at the time of such funding, is the subject of Sanctions or in any other manner that will result in a violation by any Person (including any Person participating in the offering, whether as agent, underwriter, advisor, investor or otherwise) of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w:t>
      </w:r>
      <w:r>
        <w:rPr>
          <w:rFonts w:ascii="Times New Roman;Times;Serif" w:hAnsi="Times New Roman;Times;Serif"/>
          <w:b w:val="false"/>
          <w:i w:val="false"/>
          <w:caps w:val="false"/>
          <w:smallCaps w:val="false"/>
          <w:sz w:val="20"/>
          <w:u w:val="single"/>
        </w:rPr>
        <w:t>Company’s Accounting System</w:t>
      </w:r>
      <w:r>
        <w:rPr>
          <w:rFonts w:ascii="Times New Roman;Times;Serif" w:hAnsi="Times New Roman;Times;Serif"/>
          <w:b w:val="false"/>
          <w:i w:val="false"/>
          <w:caps w:val="false"/>
          <w:smallCaps w:val="false"/>
          <w:sz w:val="20"/>
        </w:rPr>
        <w:t>. The Company and its Subsidiaries maintain a system of internal control over financial reporting (as such term is defined in Rule 13a-15(f) of the Exchange Act) that complies with the requirements of the Exchange Act and that has been designed by, or under the supervision of, the Company’s principal executive and principal financial officers, to provide reasonable assurance regarding the reliability of financial reporting and the preparation of financial statements for external purposes in accordance with GAAP. The Company and its Subsidiaries maintain internal accounting controls sufficient to provide reasonable assurances regarding the reliability of financial reporting and the preparation of financial statements for external purposes in accordance with GAAP, including, but not limited to, internal accounting controls sufficient to provide reasonable assurance that (i) transactions are executed in accordance with management’s general or specific authorization, (ii) transactions are recorded as necessary to permit preparation of the Company’s financial statements in conformity with GAAP and to maintain accountability for its assets, (iii) access to the Company’s assets is permitted only in accordance with management’s general or specific authorization, and (iv) the recorded accountability for the Company’s assets is compared with existing assets at reasonable intervals and appropriate action is taken with respect to any differences. Except as described in the Prospectus, since the end of the Company’s most recent audited fiscal year, there has been (A) no material weakness in the Company’s internal control over financial reporting (whether or not remediated) and (B) no change in the Company’s internal control over financial reporting that has materially affected, or is reasonably likely to materially affect, the Company’s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w:t>
      </w:r>
      <w:r>
        <w:rPr>
          <w:rFonts w:ascii="Times New Roman;Times;Serif" w:hAnsi="Times New Roman;Times;Serif"/>
          <w:b w:val="false"/>
          <w:i w:val="false"/>
          <w:caps w:val="false"/>
          <w:smallCaps w:val="false"/>
          <w:sz w:val="20"/>
          <w:u w:val="single"/>
        </w:rPr>
        <w:t>Disclosure Controls</w:t>
      </w:r>
      <w:r>
        <w:rPr>
          <w:rFonts w:ascii="Times New Roman;Times;Serif" w:hAnsi="Times New Roman;Times;Serif"/>
          <w:b w:val="false"/>
          <w:i w:val="false"/>
          <w:caps w:val="false"/>
          <w:smallCaps w:val="false"/>
          <w:sz w:val="20"/>
        </w:rPr>
        <w:t>. (i) The Company and the Subsidiaries maintain disclosure controls and procedures (as such term is defined in Rule 13a-15(e) under the Exchange Act), (ii) such disclosure controls and procedures are designed to ensure that the information required to be disclosed by the Company and the Subsidiaries in the reports they file or submit under the Exchange Act is accumulated and communicated to management of the Company and the Subsidiaries, including their respective principal executive officers and principal financial officers, as appropriate, to allow timely decision regarding required disclosure to be made, and (iii) such disclosure controls and procedures are effective in all material respects to perform the functions for which they were established.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w:t>
      </w:r>
      <w:r>
        <w:rPr>
          <w:rFonts w:ascii="Times New Roman;Times;Serif" w:hAnsi="Times New Roman;Times;Serif"/>
          <w:b w:val="false"/>
          <w:i w:val="false"/>
          <w:caps w:val="false"/>
          <w:smallCaps w:val="false"/>
          <w:sz w:val="20"/>
          <w:u w:val="single"/>
        </w:rPr>
        <w:t>Compliance with Environmental Laws</w:t>
      </w:r>
      <w:r>
        <w:rPr>
          <w:rFonts w:ascii="Times New Roman;Times;Serif" w:hAnsi="Times New Roman;Times;Serif"/>
          <w:b w:val="false"/>
          <w:i w:val="false"/>
          <w:caps w:val="false"/>
          <w:smallCaps w:val="false"/>
          <w:sz w:val="20"/>
        </w:rPr>
        <w:t>. The Company and its Subsidiaries (i) are, and at all times prior hereto were, in compliance with all laws, regulations, ordinances, rules, orders, judgments, decrees, permits or other legal requirements of any Governmental Authority, including without limitation any international, foreign, national, state, provincial, regional, or local authority, relating to pollution, the protection of human health or safety, the environment, or natural resources, or to use, handling, storage, manufacturing, transportation, treatment, discharge, disposal or release of hazardous or toxic substances or wastes, pollutants or contaminants (“</w:t>
      </w:r>
      <w:r>
        <w:rPr>
          <w:rFonts w:ascii="Times New Roman;Times;Serif" w:hAnsi="Times New Roman;Times;Serif"/>
          <w:b/>
          <w:i w:val="false"/>
          <w:caps w:val="false"/>
          <w:smallCaps w:val="false"/>
          <w:sz w:val="20"/>
          <w:u w:val="single"/>
        </w:rPr>
        <w:t>Environmental Laws</w:t>
      </w:r>
      <w:r>
        <w:rPr>
          <w:rFonts w:ascii="Times New Roman;Times;Serif" w:hAnsi="Times New Roman;Times;Serif"/>
          <w:b w:val="false"/>
          <w:i w:val="false"/>
          <w:caps w:val="false"/>
          <w:smallCaps w:val="false"/>
          <w:sz w:val="20"/>
        </w:rPr>
        <w:t>”) applicable to such entity, which compliance includes, without limitation, obtaining, maintaining and complying with all permits and authorizations and approvals required by Environmental Laws to conduct their respective businesses, and (ii) have not received notice or otherwise have knowledge of any actual or alleged violation of Environmental Laws, or of any actual or potential liability for or other obligation concerning the presence, disposal or release of hazardous or toxic substances or wastes, pollutants or contaminants, except in the case of clause (i) or (ii) where such non-compliance, violation, liability, or other obligation would not, in the aggregate, reasonably be expected to have a Material Adverse Effect.  Except as disclosed in the Registration Statement or the Prospectus, (x) there are no proceedings that are pending, or known to be contemplated, against the Company or any of its Subsidiaries under Environmental Laws in which a Governmental Authority is also a party, other than such proceedings regarding which it is reasonably believed no monetary sanctions of $100,000 or more will be imposed, and (y) the Company and its Subsidiaries are not aware of any issues regarding compliance with Environmental Laws or liabilities or other obligations under Environmental Laws or concerning hazardous or toxic substances or wastes, pollutants or contaminants that could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Except as would not reasonably be expected to have a Material Adverse Effect, the Company owns or possesses adequate rights to use all patent applications, patents, trademarks, trade names, trademark registrations, service marks, service mark registrations, copyrights, licenses, knowhow, software, systems and technology (including trade secrets and other unpatented or un-patentable proprietary or confidential information, systems or procedures) (collectively, the “</w:t>
      </w:r>
      <w:r>
        <w:rPr>
          <w:rFonts w:ascii="Times New Roman;Times;Serif" w:hAnsi="Times New Roman;Times;Serif"/>
          <w:b/>
          <w:i w:val="false"/>
          <w:caps w:val="false"/>
          <w:smallCaps w:val="false"/>
          <w:sz w:val="20"/>
          <w:u w:val="single"/>
        </w:rPr>
        <w:t>Intellectual Property</w:t>
      </w:r>
      <w:r>
        <w:rPr>
          <w:rFonts w:ascii="Times New Roman;Times;Serif" w:hAnsi="Times New Roman;Times;Serif"/>
          <w:b w:val="false"/>
          <w:i w:val="false"/>
          <w:caps w:val="false"/>
          <w:smallCaps w:val="false"/>
          <w:sz w:val="20"/>
        </w:rPr>
        <w:t>”) necessary for the conduct of its business as currently conducted or as proposed in the Registration Statement or the Prospectus to be conducted. The Company owns all Intellectual Property described in the Registration Statement or the Prospectus as being owned by it (“</w:t>
      </w:r>
      <w:r>
        <w:rPr>
          <w:rFonts w:ascii="Times New Roman;Times;Serif" w:hAnsi="Times New Roman;Times;Serif"/>
          <w:b/>
          <w:i w:val="false"/>
          <w:caps w:val="false"/>
          <w:smallCaps w:val="false"/>
          <w:sz w:val="20"/>
          <w:u w:val="single"/>
        </w:rPr>
        <w:t>Company Intellectual Property</w:t>
      </w:r>
      <w:r>
        <w:rPr>
          <w:rFonts w:ascii="Times New Roman;Times;Serif" w:hAnsi="Times New Roman;Times;Serif"/>
          <w:b w:val="false"/>
          <w:i w:val="false"/>
          <w:caps w:val="false"/>
          <w:smallCaps w:val="false"/>
          <w:sz w:val="20"/>
        </w:rPr>
        <w:t>”). To the Company’s knowledge, and except as disclosed in the Registration Statement or the Prospectus: (i) there are no third parties who have material rights to any Company Intellectual Property; and (ii) there is no infringement by third parties of any Company Intellectual Property. Except as would not reasonably be expected to have a Material Adverse Effect, there is no pending or, to the Company’s knowledge, threatened action, suit, proceeding or claim by others: (A) challenging the Company’s rights in or to any Company Intellectual Property, and the Company is unaware of any facts which would form a reasonable basis for any such action, suit, proceeding or claim; (B) challenging the validity, enforceability or scope of any Company Intellectual Property, and the Company is unaware of any facts which would form a reasonable basis for any such action, suit, proceeding or claim; or (C) asserting that the Company or its Subsidiaries infringe or otherwise violate, or would, upon the commercialization of any product or service described in the Registration Statement or the Prospectus as under development, infringe or violate, any Intellectual Property of others, and the Company is unaware of any facts which would form a reasonable basis for any such action, suit, proceeding or claim. The Company and its Subsidiaries have complied in all material respects with the terms of any agreement pursuant to which Intellectual Property has been licensed to the Company or such Subsidiary, and all such agreements are in full force and effect. The product candidates described in the Registration Statement or the Prospectus fall within the scope of the claims of one or more patents or patent applications owned by the Company, though not all features or aspects of such product candidates are necessarily protected by such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w:t>
      </w:r>
      <w:r>
        <w:rPr>
          <w:rFonts w:ascii="Times New Roman;Times;Serif" w:hAnsi="Times New Roman;Times;Serif"/>
          <w:b w:val="false"/>
          <w:i w:val="false"/>
          <w:caps w:val="false"/>
          <w:smallCaps w:val="false"/>
          <w:sz w:val="20"/>
          <w:u w:val="single"/>
        </w:rPr>
        <w:t>Listing</w:t>
      </w:r>
      <w:r>
        <w:rPr>
          <w:rFonts w:ascii="Times New Roman;Times;Serif" w:hAnsi="Times New Roman;Times;Serif"/>
          <w:b w:val="false"/>
          <w:i w:val="false"/>
          <w:caps w:val="false"/>
          <w:smallCaps w:val="false"/>
          <w:sz w:val="20"/>
        </w:rPr>
        <w:t>. The Common Stock is registered pursuant to Section 12(b) of the Exchange Act and is currently listed on Nasdaq under the trading symbol “YARW.” The Company has taken no action designed to, or likely to have the effect of, terminating the registration of the Common Stock under the Exchange Act, delisting the Common Stock from Nasdaq, nor has the Company received any notification that the Commission or Nasdaq is contemplating terminating such registration or listing. To the Company’s knowledge, it is in compliance with all applicable listing requirements of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w:t>
      </w:r>
      <w:r>
        <w:rPr>
          <w:rFonts w:ascii="Times New Roman;Times;Serif" w:hAnsi="Times New Roman;Times;Serif"/>
          <w:b w:val="false"/>
          <w:i w:val="false"/>
          <w:caps w:val="false"/>
          <w:smallCaps w:val="false"/>
          <w:sz w:val="20"/>
          <w:u w:val="single"/>
        </w:rPr>
        <w:t>Brokers</w:t>
      </w:r>
      <w:r>
        <w:rPr>
          <w:rFonts w:ascii="Times New Roman;Times;Serif" w:hAnsi="Times New Roman;Times;Serif"/>
          <w:b w:val="false"/>
          <w:i w:val="false"/>
          <w:caps w:val="false"/>
          <w:smallCaps w:val="false"/>
          <w:sz w:val="20"/>
        </w:rPr>
        <w:t>. Neither the Company nor any of its Subsidiaries is a party to any contract, agreement or understanding with any person (other than this Agreement) that would give rise to a valid claim against any of them for a brokerage commission, finder’s fee or like payment in connection with the offering and sale of the Placement Shares.  Neither the Company nor any of its Subsidiaries is a party to any contract, agreement or understanding with any person (other than this Agreement) that would give rise to a valid claim against TD Cowen for a brokerage commission, finder’s fee or like payment in connection with the offering and sale of the Placement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w:t>
      </w:r>
      <w:r>
        <w:rPr>
          <w:rFonts w:ascii="Times New Roman;Times;Serif" w:hAnsi="Times New Roman;Times;Serif"/>
          <w:b w:val="false"/>
          <w:i w:val="false"/>
          <w:caps w:val="false"/>
          <w:smallCaps w:val="false"/>
          <w:sz w:val="20"/>
          <w:u w:val="single"/>
        </w:rPr>
        <w:t>No Outstanding Loans or Other Indebtedness</w:t>
      </w:r>
      <w:r>
        <w:rPr>
          <w:rFonts w:ascii="Times New Roman;Times;Serif" w:hAnsi="Times New Roman;Times;Serif"/>
          <w:b w:val="false"/>
          <w:i w:val="false"/>
          <w:caps w:val="false"/>
          <w:smallCaps w:val="false"/>
          <w:sz w:val="20"/>
        </w:rPr>
        <w:t>. Subsequent to the respective dates as of which information is given in the Registration Statement, the Prospectus and the Permitted Free Writing Prospectuses, if any (including any document deemed incorporated by reference therein), there has not been (i) any Material Adverse Effect or the occurrence of any development that the Company reasonably expects will result in a Material Adverse Effect, (ii) any transaction which is material to the Company and its Subsidiaries taken as a whole, (iii) any obligation or liability, direct or contingent (including any off-balance sheet obligations), incurred by the Company or any Subsidiary, which is material to the Company and its Subsidiaries taken as a whole, (iv) any material change in the capital stock or outstanding long-term indebtedness of the Company or any Subsidiary or (v) any dividend or distribution of any kind declared, paid or made on the capital stock of the Company or any Subsidiary, other than in each case above in the ordinary course of business or as otherwise disclosed in the Registration Statement or Prospectus (including any document deemed incorporated by reference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w:t>
      </w:r>
      <w:r>
        <w:rPr>
          <w:rFonts w:ascii="Times New Roman;Times;Serif" w:hAnsi="Times New Roman;Times;Serif"/>
          <w:b w:val="false"/>
          <w:i w:val="false"/>
          <w:caps w:val="false"/>
          <w:smallCaps w:val="false"/>
          <w:sz w:val="20"/>
          <w:u w:val="single"/>
        </w:rPr>
        <w:t>No Reliance</w:t>
      </w:r>
      <w:r>
        <w:rPr>
          <w:rFonts w:ascii="Times New Roman;Times;Serif" w:hAnsi="Times New Roman;Times;Serif"/>
          <w:b w:val="false"/>
          <w:i w:val="false"/>
          <w:caps w:val="false"/>
          <w:smallCaps w:val="false"/>
          <w:sz w:val="20"/>
        </w:rPr>
        <w:t>. The Company has not relied upon TD Cowen or legal counsel for TD Cowen for any legal, tax or accounting advice in connection with the offering and sale of the Placement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         </w:t>
      </w: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 The Company has not been advised, and has no reason to believe, that it and each of its subsidiaries are not conducting business in compliance with all applicable laws, rules and regulations of the jurisdictions in which it is conducting business, except where failure to be so in compliance would not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w:t>
      </w:r>
      <w:r>
        <w:rPr>
          <w:rFonts w:ascii="Times New Roman;Times;Serif" w:hAnsi="Times New Roman;Times;Serif"/>
          <w:b w:val="false"/>
          <w:i w:val="false"/>
          <w:caps w:val="false"/>
          <w:smallCaps w:val="false"/>
          <w:sz w:val="20"/>
          <w:u w:val="single"/>
        </w:rPr>
        <w:t>Healthcare Laws</w:t>
      </w:r>
      <w:r>
        <w:rPr>
          <w:rFonts w:ascii="Times New Roman;Times;Serif" w:hAnsi="Times New Roman;Times;Serif"/>
          <w:b w:val="false"/>
          <w:i w:val="false"/>
          <w:caps w:val="false"/>
          <w:smallCaps w:val="false"/>
          <w:sz w:val="20"/>
        </w:rPr>
        <w:t>. The Company, its Subsidiaries and, to the Company’s knowledge, their respective directors, officers, employees, and agents (while acting in such capacity) are, and at all times prior hereto have been, in compliance with all health care laws and regulations applicable to the Company, its Subsidiaries or any of their respective products, product candidates or activities, including such laws and regulations relating to any aspect of the development, testing, manufacturing, sales and marketing of health care or pharmaceutical products, kickbacks, recordkeeping, documentation requirements, the hiring of employees, quality, safety, privacy, security, licensure or accreditation, including, without limitation, the Federal Food, Drug and Cosmetic Act (21 U.S.C. § 301 et seq.), the federal Anti-Kickback Statute (42 U.S.C. § 1320a-7b(b)), the civil False Claims Act (31 U.S.C. § 3729 et seq.), the criminal False Claims Law (42 U.S.C. § 1320a-7b(a)), the Civil Monetary Penalties Law (42 U.S.C. § 1320a-7a), all criminal laws relating to health care fraud and abuse, including but not limited to 18 U.S.C. Sections 286, 287, 1035, 1347 and 1349, and the health care fraud criminal provisions under the Health Insurance Portability and Accountability Act of 1996 (42 U.S.C. § 1320d et seq.), as amended by the Health Information Technology for Economic and Clinical Health Act of 2009 (42 U.S.C. § 17921 et seq.), the exclusion laws (42 U.S.C. § 1320a-7), Medicare (Title XVIII of the Social Security Act), Medicaid (Title XIX of the Social Security Act), the Physician Payments Sunshine Act (42 U.S.C. § 1320a-7h), and the regulations promulgated pursuant to such laws, and comparable state laws, and all other local, state, federal, national, supranational, and foreign laws relating to the regulation of the Company, including the collection and reporting requirements, and the processing of any applicable rebate, chargeback or adjustment, under applicable rules and regulations relating to the Medicaid Drug Rebate Program (42 U.S.C. § 1396r-8) and any state supplemental rebate program, Medicare average sales price reporting (42 U.S.C. § 1395w-3a), the Public Health Service Act (42 U.S.C. § 256b), the VA Federal Supply Schedule (38 U.S.C. § 8126) or under any state pharmaceutical assistance program or U.S. Department of Veterans Affairs agreement, and any successor government programs (collectively, “</w:t>
      </w:r>
      <w:r>
        <w:rPr>
          <w:rFonts w:ascii="Times New Roman;Times;Serif" w:hAnsi="Times New Roman;Times;Serif"/>
          <w:b/>
          <w:i w:val="false"/>
          <w:caps w:val="false"/>
          <w:smallCaps w:val="false"/>
          <w:sz w:val="20"/>
          <w:u w:val="single"/>
        </w:rPr>
        <w:t>Health Care Laws</w:t>
      </w:r>
      <w:r>
        <w:rPr>
          <w:rFonts w:ascii="Times New Roman;Times;Serif" w:hAnsi="Times New Roman;Times;Serif"/>
          <w:b w:val="false"/>
          <w:i w:val="false"/>
          <w:caps w:val="false"/>
          <w:smallCaps w:val="false"/>
          <w:sz w:val="20"/>
        </w:rPr>
        <w:t>”), except where such noncompliance would not, individually or in the aggregate, have a Material Adverse Effect. None of the Company, its Subsidiaries or any of their respective directors, officers or employees acting in such capacity has engaged in any activities which are, as applicable, cause for federal or state false claims act liability, civil monetary penalties under the federal Civil Monetary Penalties Law, or mandatory or permissive exclusion from any local, state or federal healthcare program. Except as set forth in the Registration Statement and Prospectus or as would not reasonably be expected to have a Material Adverse Effect, neither the Company nor any of its Subsidiaries has received any notification, correspondence or any other written or oral communication, including notification of any pending or threatened claim, suit, proceeding, hearing, enforcement, investigation, arbitration or other action from any Governmental Authority, including, without limitation, the United States Food and Drug Administration (“</w:t>
      </w:r>
      <w:r>
        <w:rPr>
          <w:rFonts w:ascii="Times New Roman;Times;Serif" w:hAnsi="Times New Roman;Times;Serif"/>
          <w:b/>
          <w:i w:val="false"/>
          <w:caps w:val="false"/>
          <w:smallCaps w:val="false"/>
          <w:sz w:val="20"/>
          <w:u w:val="single"/>
        </w:rPr>
        <w:t>FDA</w:t>
      </w:r>
      <w:r>
        <w:rPr>
          <w:rFonts w:ascii="Times New Roman;Times;Serif" w:hAnsi="Times New Roman;Times;Serif"/>
          <w:b w:val="false"/>
          <w:i w:val="false"/>
          <w:caps w:val="false"/>
          <w:smallCaps w:val="false"/>
          <w:sz w:val="20"/>
        </w:rPr>
        <w:t>”), the Drug Enforcement Administration, the Centers for Medicare &amp; Medicaid Services, the U.S. Department of Health and Human Services Office of Inspector General, the Department of Justice and the Ministry of Health of the State of Israel, of potential or actual non-compliance by, or liability of, the Company or its Subsidiaries under any Health Care Laws. To the Company’s knowledge, there are no facts or circumstances that would reasonably be expected to give rise to liability of the Company or its Subsidiaries under any Health Care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         </w:t>
      </w:r>
      <w:r>
        <w:rPr>
          <w:rFonts w:ascii="Times New Roman;Times;Serif" w:hAnsi="Times New Roman;Times;Serif"/>
          <w:b w:val="false"/>
          <w:i w:val="false"/>
          <w:caps w:val="false"/>
          <w:smallCaps w:val="false"/>
          <w:sz w:val="20"/>
          <w:u w:val="single"/>
        </w:rPr>
        <w:t>IT Systems</w:t>
      </w:r>
      <w:r>
        <w:rPr>
          <w:rFonts w:ascii="Times New Roman;Times;Serif" w:hAnsi="Times New Roman;Times;Serif"/>
          <w:b w:val="false"/>
          <w:i w:val="false"/>
          <w:caps w:val="false"/>
          <w:smallCaps w:val="false"/>
          <w:sz w:val="20"/>
        </w:rPr>
        <w:t>. Except as may be included or incorporated by reference in the Registration Statement and the Prospectus, (i)(x) there has been no material security breach or attack or other compromise of or relating to any of the Company’s and each of its Subsidiaries’ information technology and computer systems, networks, hardware, software, data (including the data of their respective customers, employees, suppliers, vendors and any third party data maintained by or on behalf of them), equipment or technology (collectively, “</w:t>
      </w:r>
      <w:r>
        <w:rPr>
          <w:rFonts w:ascii="Times New Roman;Times;Serif" w:hAnsi="Times New Roman;Times;Serif"/>
          <w:b/>
          <w:i w:val="false"/>
          <w:caps w:val="false"/>
          <w:smallCaps w:val="false"/>
          <w:sz w:val="20"/>
          <w:u w:val="single"/>
        </w:rPr>
        <w:t>IT Systems and Data</w:t>
      </w:r>
      <w:r>
        <w:rPr>
          <w:rFonts w:ascii="Times New Roman;Times;Serif" w:hAnsi="Times New Roman;Times;Serif"/>
          <w:b w:val="false"/>
          <w:i w:val="false"/>
          <w:caps w:val="false"/>
          <w:smallCaps w:val="false"/>
          <w:sz w:val="20"/>
        </w:rPr>
        <w:t>”) and (y) the Company and its Subsidiaries have not been notified of, and have no knowledge of any event or condition that would reasonably be expected to result in, any security breach, attack or compromise to their IT Systems and Data, (ii) the Company and its Subsidiaries have complied, and are presently in compliance with all applicable laws, statutes or any judgment, order, rule or regulation of any Governmental Authority and all internal policies and contractual obligations relating to the privacy and security of IT Systems and Data and to the protection of such IT Systems and Data from unauthorized use, access, misappropriation or modification, except where such noncompliance would not, individually or in the aggregate, reasonably be expected to have a Material Adverse Effect and (iii) the Company and its Subsidiaries have implemented backup technology consistent with industry standards and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         </w:t>
      </w:r>
      <w:r>
        <w:rPr>
          <w:rFonts w:ascii="Times New Roman;Times;Serif" w:hAnsi="Times New Roman;Times;Serif"/>
          <w:b w:val="false"/>
          <w:i w:val="false"/>
          <w:caps w:val="false"/>
          <w:smallCaps w:val="false"/>
          <w:sz w:val="20"/>
          <w:u w:val="single"/>
        </w:rPr>
        <w:t>Research &amp; Development Sites</w:t>
      </w:r>
      <w:r>
        <w:rPr>
          <w:rFonts w:ascii="Times New Roman;Times;Serif" w:hAnsi="Times New Roman;Times;Serif"/>
          <w:b w:val="false"/>
          <w:i w:val="false"/>
          <w:caps w:val="false"/>
          <w:smallCaps w:val="false"/>
          <w:sz w:val="20"/>
        </w:rPr>
        <w:t>. Except as disclosed in the Registration Statement or the Prospectus or as would not reasonably be expected to have a Material Adverse Effect, during the last three years, the Company has not had any research and development site (whether Company-owned or that of a contractor or a joint developer for Company product candidates) subject to a Governmental Authority (including FDA) shutdown or import or export prohibition, nor received any FDA Form 483 or other written Governmental Authority notice of inspectional observations, “warning letters,” “untitled letters,” requests to make changes to the Company product candidates, processes or operations, or similar written correspondence or notice from the FDA or other Governmental Authority alleging or asserting material noncompliance with any applicable Health Care Laws. To the Company’s knowledge, neither the FDA nor any other Governmental Authority is considering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          </w:t>
      </w:r>
      <w:r>
        <w:rPr>
          <w:rFonts w:ascii="Times New Roman;Times;Serif" w:hAnsi="Times New Roman;Times;Serif"/>
          <w:b w:val="false"/>
          <w:i w:val="false"/>
          <w:caps w:val="false"/>
          <w:smallCaps w:val="false"/>
          <w:sz w:val="20"/>
          <w:u w:val="single"/>
        </w:rPr>
        <w:t>Safety Notices</w:t>
      </w:r>
      <w:r>
        <w:rPr>
          <w:rFonts w:ascii="Times New Roman;Times;Serif" w:hAnsi="Times New Roman;Times;Serif"/>
          <w:b w:val="false"/>
          <w:i w:val="false"/>
          <w:caps w:val="false"/>
          <w:smallCaps w:val="false"/>
          <w:sz w:val="20"/>
        </w:rPr>
        <w:t>. Except as would not reasonably be expected to have a Material Adverse Effect, (i) there are no recalls, field notifications, field corrections, market withdrawals or replacements, warnings, “dear doctor” letters, investigator notices, safety alerts or other notice of action relating to an alleged lack of safety, efficacy, or regulatory compliance of the Company products (“</w:t>
      </w:r>
      <w:r>
        <w:rPr>
          <w:rFonts w:ascii="Times New Roman;Times;Serif" w:hAnsi="Times New Roman;Times;Serif"/>
          <w:b/>
          <w:i w:val="false"/>
          <w:caps w:val="false"/>
          <w:smallCaps w:val="false"/>
          <w:sz w:val="20"/>
          <w:u w:val="single"/>
        </w:rPr>
        <w:t>Safety Notices</w:t>
      </w:r>
      <w:r>
        <w:rPr>
          <w:rFonts w:ascii="Times New Roman;Times;Serif" w:hAnsi="Times New Roman;Times;Serif"/>
          <w:b w:val="false"/>
          <w:i w:val="false"/>
          <w:caps w:val="false"/>
          <w:smallCaps w:val="false"/>
          <w:sz w:val="20"/>
        </w:rPr>
        <w:t>”) during the last three years and (ii) to the Company’s knowledge, there are no material complaints with respect to the Company products that are currently unresolved. There are no Safety Notices, or, to the Company’s knowledge, material product complaints with respect to the Company products, and to the Company’s knowledge, there are no facts that would be reasonably likely to result in (i) a material Safety Notice with respect to the Company products, (ii) a material change in labeling of any of the Company products, or (iii) a termination or suspension of marketing or testing of any of the Company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         </w:t>
      </w:r>
      <w:r>
        <w:rPr>
          <w:rFonts w:ascii="Times New Roman;Times;Serif" w:hAnsi="Times New Roman;Times;Serif"/>
          <w:b w:val="false"/>
          <w:i w:val="false"/>
          <w:caps w:val="false"/>
          <w:smallCaps w:val="false"/>
          <w:sz w:val="20"/>
          <w:u w:val="single"/>
        </w:rPr>
        <w:t>Clinical Trials</w:t>
      </w:r>
      <w:r>
        <w:rPr>
          <w:rFonts w:ascii="Times New Roman;Times;Serif" w:hAnsi="Times New Roman;Times;Serif"/>
          <w:b w:val="false"/>
          <w:i w:val="false"/>
          <w:caps w:val="false"/>
          <w:smallCaps w:val="false"/>
          <w:sz w:val="20"/>
        </w:rPr>
        <w:t>. The clinical and preclinical studies and tests conducted by the Company, and, to the knowledge of the Company, the clinical and preclinical studies and tests conducted on behalf of or sponsored by the Company or its Subsidiaries, were, and if still pending, are, being conducted in all material respects in accordance with all applicable Health Care Laws and standard medical and scientific research procedures, including, but not limited to, the Federal Food, Drug and Cosmetic Act and its applicable implementing regulations at 21 C.F.R. Parts 50, 54, 56, 58 and 312.  Any descriptions of clinical, preclinical and other studies and tests, including any related results and regulatory status, contained in the Registration Statement or the Prospectus are accurate in all material respects.  Except as disclosed in the Registration Statement or the Prospectus and to the Company’s knowledge, there are no studies, tests or trials the results of which reasonably call into question in any material respect the clinical trial results described or referred to in the Registration Statement or the Prospectus.  Except as disclosed in the Registration Statement or the Prospectus, neither the FDA nor any applicable foreign regulatory agency has commenced, or, to the Company’s knowledge, threatened to initiate, any action to place a clinical hold order on, or otherwise terminate, delay or suspend, any proposed or ongoing clinical study or trial conducted or proposed to be conducted by or on behalf of the Company.  The Company has made all such filings and obtained all such approvals as may be required by the Israeli Ministry of Health, the FDA or any committee thereof or from any other U.S., Israeli or foreign government or drug or medical device regulatory agency, or health care facility Institutional Review Board (collectively, the “</w:t>
      </w:r>
      <w:r>
        <w:rPr>
          <w:rFonts w:ascii="Times New Roman;Times;Serif" w:hAnsi="Times New Roman;Times;Serif"/>
          <w:b/>
          <w:i w:val="false"/>
          <w:caps w:val="false"/>
          <w:smallCaps w:val="false"/>
          <w:sz w:val="20"/>
          <w:u w:val="single"/>
        </w:rPr>
        <w:t>Regulatory Agencies</w:t>
      </w:r>
      <w:r>
        <w:rPr>
          <w:rFonts w:ascii="Times New Roman;Times;Serif" w:hAnsi="Times New Roman;Times;Serif"/>
          <w:b w:val="false"/>
          <w:i w:val="false"/>
          <w:caps w:val="false"/>
          <w:smallCaps w:val="false"/>
          <w:sz w:val="20"/>
        </w:rPr>
        <w:t xml:space="preserve">”), and the Company has operated and currently is in compliance in all material respects with all applicable rules, regulations and policies of the Regulatory Agencies, </w:t>
      </w:r>
      <w:r>
        <w:rPr>
          <w:rFonts w:ascii="Times New Roman;Times;Serif" w:hAnsi="Times New Roman;Times;Serif"/>
          <w:b w:val="false"/>
          <w:i/>
          <w:caps w:val="false"/>
          <w:smallCaps w:val="false"/>
          <w:sz w:val="20"/>
        </w:rPr>
        <w:t>except</w:t>
      </w:r>
      <w:r>
        <w:rPr>
          <w:rFonts w:ascii="Times New Roman;Times;Serif" w:hAnsi="Times New Roman;Times;Serif"/>
          <w:b w:val="false"/>
          <w:i w:val="false"/>
          <w:caps w:val="false"/>
          <w:smallCaps w:val="false"/>
          <w:sz w:val="20"/>
        </w:rPr>
        <w:t xml:space="preserve"> where the failure to make such filings, obtain such approval or comply with such rules, regulations and policies could not reasonably be expected to, individually or in the aggregate,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          </w:t>
      </w:r>
      <w:r>
        <w:rPr>
          <w:rFonts w:ascii="Times New Roman;Times;Serif" w:hAnsi="Times New Roman;Times;Serif"/>
          <w:b w:val="false"/>
          <w:i w:val="false"/>
          <w:caps w:val="false"/>
          <w:smallCaps w:val="false"/>
          <w:sz w:val="20"/>
          <w:u w:val="single"/>
        </w:rPr>
        <w:t>No Reporting Obligations</w:t>
      </w:r>
      <w:r>
        <w:rPr>
          <w:rFonts w:ascii="Times New Roman;Times;Serif" w:hAnsi="Times New Roman;Times;Serif"/>
          <w:b w:val="false"/>
          <w:i w:val="false"/>
          <w:caps w:val="false"/>
          <w:smallCaps w:val="false"/>
          <w:sz w:val="20"/>
        </w:rPr>
        <w:t>. Neither the Company nor any of its Subsidiaries is a party to or has any ongoing reporting obligations pursuant to any corporate integrity agreements, monitoring agreements, deferred prosecution agreements, consent decrees, settlement orders, or similar agreements with or imposed by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(uu)         </w:t>
      </w:r>
      <w:r>
        <w:rPr>
          <w:rFonts w:ascii="Times New Roman;Times;Serif" w:hAnsi="Times New Roman;Times;Serif"/>
          <w:b w:val="false"/>
          <w:i w:val="false"/>
          <w:caps w:val="false"/>
          <w:smallCaps w:val="false"/>
          <w:sz w:val="20"/>
          <w:u w:val="single"/>
        </w:rPr>
        <w:t>No Bad Actors</w:t>
      </w:r>
      <w:r>
        <w:rPr>
          <w:rFonts w:ascii="Times New Roman;Times;Serif" w:hAnsi="Times New Roman;Times;Serif"/>
          <w:b w:val="false"/>
          <w:i w:val="false"/>
          <w:caps w:val="false"/>
          <w:smallCaps w:val="false"/>
          <w:sz w:val="20"/>
        </w:rPr>
        <w:t>. None of the Company, its Subsidiaries or any of its respective directors, officers, employees or, to the Company’s knowledge, agents, is debarred, suspended or excluded, or has been convicted of any crime or engaged in any conduct that could result in a debarment or exclusion, from any federal or state government health care program under 21 U.S.C. Sec. 335a or any similar state law, rule or regulation. Except as disclosed in the Registration Statement or the Prospectus, no claims, actions, proceedings or investigations that would reasonably be expected to result in such a debarment, suspension or exclusion are pending or, to the Company’s knowledge, threatened against the Company, its Subsidiaries or any of its respective directors, officers, employees or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(vv)         </w:t>
      </w:r>
      <w:r>
        <w:rPr>
          <w:rFonts w:ascii="Times New Roman;Times;Serif" w:hAnsi="Times New Roman;Times;Serif"/>
          <w:b w:val="false"/>
          <w:i w:val="false"/>
          <w:caps w:val="false"/>
          <w:smallCaps w:val="false"/>
          <w:sz w:val="20"/>
          <w:u w:val="single"/>
        </w:rPr>
        <w:t>Export and Import Laws</w:t>
      </w:r>
      <w:r>
        <w:rPr>
          <w:rFonts w:ascii="Times New Roman;Times;Serif" w:hAnsi="Times New Roman;Times;Serif"/>
          <w:b w:val="false"/>
          <w:i w:val="false"/>
          <w:caps w:val="false"/>
          <w:smallCaps w:val="false"/>
          <w:sz w:val="20"/>
        </w:rPr>
        <w:t>. Each of the Company and the Subsidiaries, and, to the Company’s knowledge, each of their affiliates and any director, officer, agent or employee of, or other person associated with or acting on behalf of, the Company has acted at all times in compliance with applicable Export and Import Laws (as defined below) and there are no claims, complaints, charges, investigations or proceedings pending or expected or, to the knowledge of the Company, threatened between the Company or any of the Subsidiaries and any Governmental Authority under any Export or Import Laws. The term “</w:t>
      </w:r>
      <w:r>
        <w:rPr>
          <w:rFonts w:ascii="Times New Roman;Times;Serif" w:hAnsi="Times New Roman;Times;Serif"/>
          <w:b/>
          <w:i w:val="false"/>
          <w:caps w:val="false"/>
          <w:smallCaps w:val="false"/>
          <w:sz w:val="20"/>
          <w:u w:val="single"/>
        </w:rPr>
        <w:t>Export and Import Laws</w:t>
      </w:r>
      <w:r>
        <w:rPr>
          <w:rFonts w:ascii="Times New Roman;Times;Serif" w:hAnsi="Times New Roman;Times;Serif"/>
          <w:b w:val="false"/>
          <w:i w:val="false"/>
          <w:caps w:val="false"/>
          <w:smallCaps w:val="false"/>
          <w:sz w:val="20"/>
        </w:rPr>
        <w:t>” means the Arms Export Control Act, the International Traffic in Arms Regulations, the Export Administration Act of 1979, as amended, the Export Administration Regulations, and all other laws and regulations of the United States government regulating the provision of services to non-U.S. parties or the export and import of articles or information from and to the United States of America, and all similar laws and regulations of any foreign government regulating the provision of services to parties not of the foreign country or the export and import of articles and information from and to the foreign country to parties not of the foreign country.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       </w:t>
      </w:r>
      <w:r>
        <w:rPr>
          <w:rFonts w:ascii="Times New Roman;Times;Serif" w:hAnsi="Times New Roman;Times;Serif"/>
          <w:b w:val="false"/>
          <w:i w:val="false"/>
          <w:caps w:val="false"/>
          <w:smallCaps w:val="false"/>
          <w:sz w:val="20"/>
          <w:u w:val="single"/>
        </w:rPr>
        <w:t>Material Agreements</w:t>
      </w:r>
      <w:r>
        <w:rPr>
          <w:rFonts w:ascii="Times New Roman;Times;Serif" w:hAnsi="Times New Roman;Times;Serif"/>
          <w:b w:val="false"/>
          <w:i w:val="false"/>
          <w:caps w:val="false"/>
          <w:smallCaps w:val="false"/>
          <w:sz w:val="20"/>
        </w:rPr>
        <w:t>. There are no contracts or other documents required to be described in the Registration Statement or the Prospectus or filed as exhibits to the Registration Statement that are not described and filed as required.  The statements made in the Prospectus, insofar as they purport to constitute summaries of the terms of the contracts and other documents described and filed, constitute accurate summaries of the terms of such contracts and documents in all material respects.  Neither the Company nor any of its Subsidiaries has knowledge that any other party to any such contract or other document has any intention not to render full performance in all material respects as contemplated by the terms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w:t>
      </w:r>
      <w:r>
        <w:rPr>
          <w:rFonts w:ascii="Times New Roman;Times;Serif" w:hAnsi="Times New Roman;Times;Serif"/>
          <w:b w:val="false"/>
          <w:i w:val="false"/>
          <w:caps w:val="false"/>
          <w:smallCaps w:val="false"/>
          <w:sz w:val="20"/>
          <w:u w:val="single"/>
        </w:rPr>
        <w:t>Certain Disclosure</w:t>
      </w:r>
      <w:r>
        <w:rPr>
          <w:rFonts w:ascii="Times New Roman;Times;Serif" w:hAnsi="Times New Roman;Times;Serif"/>
          <w:b w:val="false"/>
          <w:i w:val="false"/>
          <w:caps w:val="false"/>
          <w:smallCaps w:val="false"/>
          <w:sz w:val="20"/>
        </w:rPr>
        <w:t>. The statements made in the Prospectus under the captions “Description of Capital Stock” and the statements made in the Company’s Annual Report on Form 10-K for the year ended December 31, 2025 under the caption “Item 1—Business—Government Regulation”, insofar as they purport to constitute summaries of the terms of statutes, rules or regulations, legal or governmental proceedings or of contracts and other documents described therein, constitute accurate summaries of the terms of such statutes, rules and regulations, legal and governmental proceedings and contracts and other documents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(yy)         </w:t>
      </w:r>
      <w:r>
        <w:rPr>
          <w:rFonts w:ascii="Times New Roman;Times;Serif" w:hAnsi="Times New Roman;Times;Serif"/>
          <w:b w:val="false"/>
          <w:i w:val="false"/>
          <w:caps w:val="false"/>
          <w:smallCaps w:val="false"/>
          <w:sz w:val="20"/>
          <w:u w:val="single"/>
        </w:rPr>
        <w:t>No Labor Disputes</w:t>
      </w:r>
      <w:r>
        <w:rPr>
          <w:rFonts w:ascii="Times New Roman;Times;Serif" w:hAnsi="Times New Roman;Times;Serif"/>
          <w:b w:val="false"/>
          <w:i w:val="false"/>
          <w:caps w:val="false"/>
          <w:smallCaps w:val="false"/>
          <w:sz w:val="20"/>
        </w:rPr>
        <w:t>. No labor disturbance by or dispute with the employees of the Company or any of its Subsidiaries exists or, to the knowledge of the Company, is imminent that could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(zz)          </w:t>
      </w:r>
      <w:r>
        <w:rPr>
          <w:rFonts w:ascii="Times New Roman;Times;Serif" w:hAnsi="Times New Roman;Times;Serif"/>
          <w:b w:val="false"/>
          <w:i w:val="false"/>
          <w:caps w:val="false"/>
          <w:smallCaps w:val="false"/>
          <w:sz w:val="20"/>
          <w:u w:val="single"/>
        </w:rPr>
        <w:t>No Default</w:t>
      </w:r>
      <w:r>
        <w:rPr>
          <w:rFonts w:ascii="Times New Roman;Times;Serif" w:hAnsi="Times New Roman;Times;Serif"/>
          <w:b w:val="false"/>
          <w:i w:val="false"/>
          <w:caps w:val="false"/>
          <w:smallCaps w:val="false"/>
          <w:sz w:val="20"/>
        </w:rPr>
        <w:t>. Neither the Company nor any of its Subsidiaries (i) is in violation of its articles of association, charter or by-laws (or similar organizational documents), (ii) is in default, and no event has occurred that, with notice or lapse of time or both, would constitute such a default, in the due performance or observance of any term, covenant, condition or other obligation contained in any indenture, mortgage, deed of trust, loan agreement, license or other agreement or instrument to which it is a party or by which it is bound or to which any of its properties or assets is subject, or (iii) is in violation of any statute or any order, rule or regulation of any Governmental Authority having jurisdiction over it or its property or assets or has failed to obtain any license, permit, certificate, franchise or other governmental authorization or permit necessary to the ownership of its property or to the conduct of its business, except in the case of clauses (ii) and (iii), to the extent any such conflict, breach, violation or default could not,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(aaa)       </w:t>
      </w:r>
      <w:r>
        <w:rPr>
          <w:rFonts w:ascii="Times New Roman;Times;Serif" w:hAnsi="Times New Roman;Times;Serif"/>
          <w:b w:val="false"/>
          <w:i w:val="false"/>
          <w:caps w:val="false"/>
          <w:smallCaps w:val="false"/>
          <w:sz w:val="20"/>
          <w:u w:val="single"/>
        </w:rPr>
        <w:t>Employee Matters</w:t>
      </w:r>
      <w:r>
        <w:rPr>
          <w:rFonts w:ascii="Times New Roman;Times;Serif" w:hAnsi="Times New Roman;Times;Serif"/>
          <w:b w:val="false"/>
          <w:i w:val="false"/>
          <w:caps w:val="false"/>
          <w:smallCaps w:val="false"/>
          <w:sz w:val="20"/>
        </w:rPr>
        <w:t>. (i) Each “employee benefit plan” (within the meaning of Section 3(3) of the Employee Retirement Income Security Act of 1974, as amended (“</w:t>
      </w:r>
      <w:r>
        <w:rPr>
          <w:rFonts w:ascii="Times New Roman;Times;Serif" w:hAnsi="Times New Roman;Times;Serif"/>
          <w:b/>
          <w:i w:val="false"/>
          <w:caps w:val="false"/>
          <w:smallCaps w:val="false"/>
          <w:sz w:val="20"/>
          <w:u w:val="single"/>
        </w:rPr>
        <w:t>ERISA</w:t>
      </w:r>
      <w:r>
        <w:rPr>
          <w:rFonts w:ascii="Times New Roman;Times;Serif" w:hAnsi="Times New Roman;Times;Serif"/>
          <w:b w:val="false"/>
          <w:i w:val="false"/>
          <w:caps w:val="false"/>
          <w:smallCaps w:val="false"/>
          <w:sz w:val="20"/>
        </w:rPr>
        <w:t>”)) for which the Company or any member of its “Controlled Group” (defined as any organization which is a member of a controlled group of corporations within the meaning of Section 414 of the Code) would have any liability (each a “</w:t>
      </w:r>
      <w:r>
        <w:rPr>
          <w:rFonts w:ascii="Times New Roman;Times;Serif" w:hAnsi="Times New Roman;Times;Serif"/>
          <w:b/>
          <w:i w:val="false"/>
          <w:caps w:val="false"/>
          <w:smallCaps w:val="false"/>
          <w:sz w:val="20"/>
          <w:u w:val="single"/>
        </w:rPr>
        <w:t>Plan</w:t>
      </w:r>
      <w:r>
        <w:rPr>
          <w:rFonts w:ascii="Times New Roman;Times;Serif" w:hAnsi="Times New Roman;Times;Serif"/>
          <w:b w:val="false"/>
          <w:i w:val="false"/>
          <w:caps w:val="false"/>
          <w:smallCaps w:val="false"/>
          <w:sz w:val="20"/>
        </w:rPr>
        <w:t>”) has been maintained in compliance with its terms and with the requirements of all applicable statutes, rules and regulations including ERISA and the Code in all material respects; (ii) no prohibited transaction, within the meaning of Section 406 of ERISA or Section 4975 of the Code, has occurred with respect to any Plan excluding transactions effected pursuant to a statutory or administrative exemption; (iii) with respect to each Plan subject to Title IV of ERISA (A) no “reportable event” (within the meaning of Section 4043(c) of ERISA) has occurred or is reasonably expected to occur, (B) no “accumulated funding deficiency” (within the meaning of Section 302 of ERISA or Section 412 of the Code), whether or not waived, has occurred or is reasonably expected to occur, (C) the fair market value of the assets under each Plan exceeds the present value of all benefits accrued under such Plan (determined based on those assumptions used to fund such Plan), and (D) neither the Company nor any member of its Controlled Group has incurred, or reasonably expects to incur, any liability under Title IV of ERISA (other than contributions to the Plan or premiums to the Pension Benefit Guaranty Corporation in the ordinary course and without default) in respect of a Plan (including a “multiemployer plan”, within the meaning of Section 4001(c)(3) of ERISA); and (iv) each Plan that is intended to be qualified under Section 401(a) of the Code is so qualified and, to the Company’s knowledge, nothing has occurred, whether by action or by failure to act, which would cause the loss of such qualification.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(bbb)      </w:t>
      </w:r>
      <w:r>
        <w:rPr>
          <w:rFonts w:ascii="Times New Roman;Times;Serif" w:hAnsi="Times New Roman;Times;Serif"/>
          <w:b w:val="false"/>
          <w:i w:val="false"/>
          <w:caps w:val="false"/>
          <w:smallCaps w:val="false"/>
          <w:sz w:val="20"/>
          <w:u w:val="single"/>
        </w:rPr>
        <w:t>Market Data</w:t>
      </w:r>
      <w:r>
        <w:rPr>
          <w:rFonts w:ascii="Times New Roman;Times;Serif" w:hAnsi="Times New Roman;Times;Serif"/>
          <w:b w:val="false"/>
          <w:i w:val="false"/>
          <w:caps w:val="false"/>
          <w:smallCaps w:val="false"/>
          <w:sz w:val="20"/>
        </w:rPr>
        <w:t>. The statistical and market-related data included or incorporated by reference in the Registration Statement and the Prospectus is based on or derived from sources that the Company believes to be reliable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(ccc)       </w:t>
      </w:r>
      <w:r>
        <w:rPr>
          <w:rFonts w:ascii="Times New Roman;Times;Serif" w:hAnsi="Times New Roman;Times;Serif"/>
          <w:b w:val="false"/>
          <w:i w:val="false"/>
          <w:caps w:val="false"/>
          <w:smallCaps w:val="false"/>
          <w:sz w:val="20"/>
          <w:u w:val="single"/>
        </w:rPr>
        <w:t>Registration Rights</w:t>
      </w:r>
      <w:r>
        <w:rPr>
          <w:rFonts w:ascii="Times New Roman;Times;Serif" w:hAnsi="Times New Roman;Times;Serif"/>
          <w:b w:val="false"/>
          <w:i w:val="false"/>
          <w:caps w:val="false"/>
          <w:smallCaps w:val="false"/>
          <w:sz w:val="20"/>
        </w:rPr>
        <w:t>. Except as disclosed in the Registration Statement or the Prospectus, there are no contracts, agreements or understandings between the Company and any person granting such person the right to require the Company to file a registration statement under the Securities Act with respect to any securities of the Company owned or to be owned by such person. The Company is not required to include any securities with the securities being offered and sold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(ddd)      </w:t>
      </w:r>
      <w:r>
        <w:rPr>
          <w:rFonts w:ascii="Times New Roman;Times;Serif" w:hAnsi="Times New Roman;Times;Serif"/>
          <w:b w:val="false"/>
          <w:i w:val="false"/>
          <w:caps w:val="false"/>
          <w:smallCaps w:val="false"/>
          <w:sz w:val="20"/>
          <w:u w:val="single"/>
        </w:rPr>
        <w:t>Forward-Looking Statements</w:t>
      </w:r>
      <w:r>
        <w:rPr>
          <w:rFonts w:ascii="Times New Roman;Times;Serif" w:hAnsi="Times New Roman;Times;Serif"/>
          <w:b w:val="false"/>
          <w:i w:val="false"/>
          <w:caps w:val="false"/>
          <w:smallCaps w:val="false"/>
          <w:sz w:val="20"/>
        </w:rPr>
        <w:t>. No forward-looking statement (within the meaning of Section 27A of the Securities Act and Section 21E of the Exchange Act) contained in the Registration Statement or the Prospectus has been made or reaffirmed without a reasonable basis or has been disclosed other than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(eee)       </w:t>
      </w:r>
      <w:r>
        <w:rPr>
          <w:rFonts w:ascii="Times New Roman;Times;Serif" w:hAnsi="Times New Roman;Times;Serif"/>
          <w:b w:val="false"/>
          <w:i w:val="false"/>
          <w:caps w:val="false"/>
          <w:smallCaps w:val="false"/>
          <w:sz w:val="20"/>
          <w:u w:val="single"/>
        </w:rPr>
        <w:t>Valid Agreements</w:t>
      </w:r>
      <w:r>
        <w:rPr>
          <w:rFonts w:ascii="Times New Roman;Times;Serif" w:hAnsi="Times New Roman;Times;Serif"/>
          <w:b w:val="false"/>
          <w:i w:val="false"/>
          <w:caps w:val="false"/>
          <w:smallCaps w:val="false"/>
          <w:sz w:val="20"/>
        </w:rPr>
        <w:t>. All agreements between the Company and third parties expressly referenced in the Prospectus are legal, valid and binding obligations of the Company enforceable in accordance with their respective terms, except to the extent that (i) enforceability may be limited by bankruptcy, insolvency, reorganization, moratorium or similar laws affecting creditors’ rights generally and by general equitable principles and (ii) the indemnification provisions of certain agreements may be limited by federal or state securities laws or public policy considerations in respect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(fff)         </w:t>
      </w:r>
      <w:r>
        <w:rPr>
          <w:rFonts w:ascii="Times New Roman;Times;Serif" w:hAnsi="Times New Roman;Times;Serif"/>
          <w:b w:val="false"/>
          <w:i w:val="false"/>
          <w:caps w:val="false"/>
          <w:smallCaps w:val="false"/>
          <w:sz w:val="20"/>
          <w:u w:val="single"/>
        </w:rPr>
        <w:t>Not a Shell Company</w:t>
      </w:r>
      <w:r>
        <w:rPr>
          <w:rFonts w:ascii="Times New Roman;Times;Serif" w:hAnsi="Times New Roman;Times;Serif"/>
          <w:b w:val="false"/>
          <w:i w:val="false"/>
          <w:caps w:val="false"/>
          <w:smallCaps w:val="false"/>
          <w:sz w:val="20"/>
        </w:rPr>
        <w:t>. The Company is not a shell company (as defined in Rule 405 under the Securities Act) and has not been a shell company for at least 12 calendar months previously and if it has been a shell company at any time previously, has filed current Form 10 information (as defined in General Instruction I.B.6 of Form S-3) with the Commission at least 12 calendar months previously reflecting its status as an entity that is not a shell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(ggg)      </w:t>
      </w:r>
      <w:r>
        <w:rPr>
          <w:rFonts w:ascii="Times New Roman;Times;Serif" w:hAnsi="Times New Roman;Times;Serif"/>
          <w:b w:val="false"/>
          <w:i w:val="false"/>
          <w:caps w:val="false"/>
          <w:smallCaps w:val="false"/>
          <w:sz w:val="20"/>
          <w:u w:val="single"/>
        </w:rPr>
        <w:t>Not a Broker/Dealer</w:t>
      </w:r>
      <w:r>
        <w:rPr>
          <w:rFonts w:ascii="Times New Roman;Times;Serif" w:hAnsi="Times New Roman;Times;Serif"/>
          <w:b w:val="false"/>
          <w:i w:val="false"/>
          <w:caps w:val="false"/>
          <w:smallCaps w:val="false"/>
          <w:sz w:val="20"/>
        </w:rPr>
        <w:t>. Neither the Company nor any of its Subsidiaries (i) is required to register as a “broker” or “dealer” in accordance with the provisions of the Exchange Act or (ii) directly or indirectly through one or more intermediaries, controls or is a “person associated with a member” or “associated person of a member” (within the meaning set forth in the FINRA Manual).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(hhh)      </w:t>
      </w:r>
      <w:r>
        <w:rPr>
          <w:rFonts w:ascii="Times New Roman;Times;Serif" w:hAnsi="Times New Roman;Times;Serif"/>
          <w:b w:val="false"/>
          <w:i w:val="false"/>
          <w:caps w:val="false"/>
          <w:smallCaps w:val="false"/>
          <w:sz w:val="20"/>
          <w:u w:val="single"/>
        </w:rPr>
        <w:t>No Integration</w:t>
      </w:r>
      <w:r>
        <w:rPr>
          <w:rFonts w:ascii="Times New Roman;Times;Serif" w:hAnsi="Times New Roman;Times;Serif"/>
          <w:b w:val="false"/>
          <w:i w:val="false"/>
          <w:caps w:val="false"/>
          <w:smallCaps w:val="false"/>
          <w:sz w:val="20"/>
        </w:rPr>
        <w:t>. The Company has not sold or issued any securities that would be integrated with the offering of the Placement Shares contemplated by this Agreement pursuant to the Securities Act, the rules and regulations thereunder or the interpretations thereof by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No Off-Balance Sheet Transactions</w:t>
      </w:r>
      <w:r>
        <w:rPr>
          <w:rFonts w:ascii="Times New Roman;Times;Serif" w:hAnsi="Times New Roman;Times;Serif"/>
          <w:b w:val="false"/>
          <w:i w:val="false"/>
          <w:caps w:val="false"/>
          <w:smallCaps w:val="false"/>
          <w:sz w:val="20"/>
        </w:rPr>
        <w:t>. There are no transactions, arrangements and other relationships between and/or among the Company, and/or any of its affiliates and any unconsolidated entity, including, but not limited to, any structural finance, special purpose or limited purpose entity (each, an “</w:t>
      </w:r>
      <w:r>
        <w:rPr>
          <w:rFonts w:ascii="Times New Roman;Times;Serif" w:hAnsi="Times New Roman;Times;Serif"/>
          <w:b/>
          <w:i w:val="false"/>
          <w:caps w:val="false"/>
          <w:smallCaps w:val="false"/>
          <w:sz w:val="20"/>
          <w:u w:val="single"/>
        </w:rPr>
        <w:t>Off-Balance Sheet Transaction</w:t>
      </w:r>
      <w:r>
        <w:rPr>
          <w:rFonts w:ascii="Times New Roman;Times;Serif" w:hAnsi="Times New Roman;Times;Serif"/>
          <w:b w:val="false"/>
          <w:i w:val="false"/>
          <w:caps w:val="false"/>
          <w:smallCaps w:val="false"/>
          <w:sz w:val="20"/>
        </w:rPr>
        <w:t>”) that could reasonably be expected to affect materially the Company’s liquidity or the availability of or requirements for its capital resources, including those Off-Balance Sheet Transactions described in the Commission’s Statement about Management’s Discussion and Analysis of Financial Conditions and Results of Operations (Release Nos. 33-8056; 34-45321; FR-61), required to be described in the Prospectus which have not been described as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(jjj)          </w:t>
      </w:r>
      <w:r>
        <w:rPr>
          <w:rFonts w:ascii="Times New Roman;Times;Serif" w:hAnsi="Times New Roman;Times;Serif"/>
          <w:b w:val="false"/>
          <w:i w:val="false"/>
          <w:caps w:val="false"/>
          <w:smallCaps w:val="false"/>
          <w:sz w:val="20"/>
          <w:u w:val="single"/>
        </w:rPr>
        <w:t>Approval of Listing of Placement Shares</w:t>
      </w:r>
      <w:r>
        <w:rPr>
          <w:rFonts w:ascii="Times New Roman;Times;Serif" w:hAnsi="Times New Roman;Times;Serif"/>
          <w:b w:val="false"/>
          <w:i w:val="false"/>
          <w:caps w:val="false"/>
          <w:smallCaps w:val="false"/>
          <w:sz w:val="20"/>
        </w:rPr>
        <w:t>. The Placement Shares to be sold by the Company have been approved for listing, subject to official notice of issuance and evidence of satisfactory distribution, on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(kkk)       </w:t>
      </w:r>
      <w:r>
        <w:rPr>
          <w:rFonts w:ascii="Times New Roman;Times;Serif" w:hAnsi="Times New Roman;Times;Serif"/>
          <w:b w:val="false"/>
          <w:i w:val="false"/>
          <w:caps w:val="false"/>
          <w:smallCaps w:val="false"/>
          <w:sz w:val="20"/>
          <w:u w:val="single"/>
        </w:rPr>
        <w:t>Compliance with Employment Laws</w:t>
      </w:r>
      <w:r>
        <w:rPr>
          <w:rFonts w:ascii="Times New Roman;Times;Serif" w:hAnsi="Times New Roman;Times;Serif"/>
          <w:b w:val="false"/>
          <w:i w:val="false"/>
          <w:caps w:val="false"/>
          <w:smallCaps w:val="false"/>
          <w:sz w:val="20"/>
        </w:rPr>
        <w:t>. Neither the Company nor any of its Subsidiaries is in violation of or has received notice of any violation with respect to any federal or state law relating to discrimination in the hiring, promotion or pay of employees, nor any applicable federal or state wage and hour laws, nor any state law precluding the denial of credit due to the neighborhood in which a property is situated, the violation of any of which could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- 20 -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(lll)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On each Settlement Date, all stock transfer or other similar taxes (other than income taxes) which are required to be paid in connection with the sale and transfer of the Placement Shares to be sold hereunder will be, or will have been, fully paid or provided for by the Company and all laws imposing such taxes will be or will have been fully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(mmm)    </w:t>
      </w:r>
      <w:r>
        <w:rPr>
          <w:rFonts w:ascii="Times New Roman;Times;Serif" w:hAnsi="Times New Roman;Times;Serif"/>
          <w:b w:val="false"/>
          <w:i w:val="false"/>
          <w:caps w:val="false"/>
          <w:smallCaps w:val="false"/>
          <w:sz w:val="20"/>
          <w:u w:val="single"/>
        </w:rPr>
        <w:t>Margin Rules</w:t>
      </w:r>
      <w:r>
        <w:rPr>
          <w:rFonts w:ascii="Times New Roman;Times;Serif" w:hAnsi="Times New Roman;Times;Serif"/>
          <w:b w:val="false"/>
          <w:i w:val="false"/>
          <w:caps w:val="false"/>
          <w:smallCaps w:val="false"/>
          <w:sz w:val="20"/>
        </w:rPr>
        <w:t>. Neither the issuance, sale and delivery of the Placement Shares nor the application of the proceeds thereof by the Company as described in the Registration Statement and the Prospectus will violate Regulation T, U or X of the Board of Governors of the Federal Reserve System or any other regulation of such Board of Governors.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(nnn)      </w:t>
      </w:r>
      <w:r>
        <w:rPr>
          <w:rFonts w:ascii="Times New Roman;Times;Serif" w:hAnsi="Times New Roman;Times;Serif"/>
          <w:b w:val="false"/>
          <w:i w:val="false"/>
          <w:caps w:val="false"/>
          <w:smallCaps w:val="false"/>
          <w:sz w:val="20"/>
          <w:u w:val="single"/>
        </w:rPr>
        <w:t>Other At The Market Sales Agreements</w:t>
      </w:r>
      <w:r>
        <w:rPr>
          <w:rFonts w:ascii="Times New Roman;Times;Serif" w:hAnsi="Times New Roman;Times;Serif"/>
          <w:b w:val="false"/>
          <w:i w:val="false"/>
          <w:caps w:val="false"/>
          <w:smallCaps w:val="false"/>
          <w:sz w:val="20"/>
        </w:rPr>
        <w:t>. The Company is not a party to any agreement with an agent or underwriter for any other “at the market” or continuous equity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(ooo)      </w:t>
      </w:r>
      <w:r>
        <w:rPr>
          <w:rFonts w:ascii="Times New Roman;Times;Serif" w:hAnsi="Times New Roman;Times;Serif"/>
          <w:b w:val="false"/>
          <w:i w:val="false"/>
          <w:caps w:val="false"/>
          <w:smallCaps w:val="false"/>
          <w:sz w:val="20"/>
          <w:u w:val="single"/>
        </w:rPr>
        <w:t>Outbound Investment Security Program</w:t>
      </w:r>
      <w:r>
        <w:rPr>
          <w:rFonts w:ascii="Times New Roman;Times;Serif" w:hAnsi="Times New Roman;Times;Serif"/>
          <w:b w:val="false"/>
          <w:i w:val="false"/>
          <w:caps w:val="false"/>
          <w:smallCaps w:val="false"/>
          <w:sz w:val="20"/>
        </w:rPr>
        <w:t>. Neither the Company nor any of its subsidiaries is a “covered foreign person”, as that term is defined in 31 C.F.R. § 850.209. Neither the Company nor any of its subsidiaries currently engages, or has plans to engage, directly or indirectly, in a “covered activity”, as that term is defined in 31 C.F.R. § 850.208 (“</w:t>
      </w:r>
      <w:r>
        <w:rPr>
          <w:rFonts w:ascii="Times New Roman;Times;Serif" w:hAnsi="Times New Roman;Times;Serif"/>
          <w:b/>
          <w:i w:val="false"/>
          <w:caps w:val="false"/>
          <w:smallCaps w:val="false"/>
          <w:sz w:val="20"/>
          <w:u w:val="single"/>
        </w:rPr>
        <w:t>Covered Activity</w:t>
      </w:r>
      <w:r>
        <w:rPr>
          <w:rFonts w:ascii="Times New Roman;Times;Serif" w:hAnsi="Times New Roman;Times;Serif"/>
          <w:b w:val="false"/>
          <w:i w:val="false"/>
          <w:caps w:val="false"/>
          <w:smallCaps w:val="false"/>
          <w:sz w:val="20"/>
        </w:rPr>
        <w:t>”). The Company does not have any joint ventures that engage in or plan to engage in any Covered Activity. The Company also does not, directly or indirectly, hold a board seat on, have a voting or equity interest in, or have any contractual power to direct or cause the direction of the management or policies of any person or persons that engages or plans to engage in any Covered Activity.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 signed by an officer of the Company and delivered to TD Cowen or to counsel for TD Cowen pursuant to or in connection with this Agreement shall be deemed to be a representation and warranty by the Company to TD Cowen as to the matters set forth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acknowledges that TD Cowen and, for purposes of the opinions to be delivered pursuant to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hereof, counsel to the Company and counsel to TD Cowen, will rely upon the accuracy and truthfulness of the foregoing representations and hereby consents to such reliance.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Covenants of the Company</w:t>
      </w:r>
      <w:r>
        <w:rPr>
          <w:rFonts w:ascii="Times New Roman;Times;Serif" w:hAnsi="Times New Roman;Times;Serif"/>
          <w:b w:val="false"/>
          <w:i w:val="false"/>
          <w:caps w:val="false"/>
          <w:smallCaps w:val="false"/>
          <w:sz w:val="20"/>
        </w:rPr>
        <w:t>. The Company covenants and agrees with TD Cowen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Registration Statement Amendments</w:t>
      </w:r>
      <w:r>
        <w:rPr>
          <w:rFonts w:ascii="Times New Roman;Times;Serif" w:hAnsi="Times New Roman;Times;Serif"/>
          <w:b w:val="false"/>
          <w:i w:val="false"/>
          <w:caps w:val="false"/>
          <w:smallCaps w:val="false"/>
          <w:sz w:val="20"/>
        </w:rPr>
        <w:t>. After the date of this Agreement and during any period in which a Prospectus relating to any Placement Shares is required to be delivered by TD Cowen under the Securities Act (including in circumstances where such requirement may be satisfied pursuant to Rule 172 under the Securities Act), (i) the Company will notify TD Cowen promptly of the time when any subsequent amendment to the Registration Statement, other than documents incorporated by reference, has been filed with the Commission and/or has become effective or any subsequent supplement to the Prospectus has been filed and of any request by the Commission for any amendment or supplement to the Registration Statement or Prospectus or for additional information, (ii) the Company will prepare and file with the Commission, promptly upon TD Cowen’s request, any amendments or supplements to the Registration Statement or Prospectus that, in TD Cowen’s reasonable opinion, may be necessary or advisable in connection with the distribution of the Placement Shares by TD Cowen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failure of TD Cowen to make such request shall not relieve the Company of any obligation or liability hereunder, or affect TD Cowen’s right to rely on the representations and warranties made by the Company in this Agreement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that the only remedy TD Cowen shall have with respect to the failure to make such filing will be to cease making sales under this Agreement until such amendment or supplement is filed); (iii) the Company will not file any amendment or supplement to the Registration Statement or Prospectus, other than documents incorporated by reference, relating to the Placement Shares or a security convertible into the Placement Shares unless a copy thereof has been submitted to TD Cowen within a reasonable period of time before the filing and TD Cowen has not reasonably objected thereto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(A) the failure of TD Cowen to make such objection shall not relieve the Company of any obligation or liability hereunder, or affect TD Cowen’s right to rely on the representations and warranties made by the Company in this Agreement, (B) the Company has no obligation to provide TD Cowen any advance copy of such filing or to provide TD Cowen an opportunity to object to such filing if the filing does not name TD Cowen or does not relate to the transaction herein provided, and (C) the only remedy TD Cowen shall have with respect to the failure by the Company to provide TD Cowen with such copy or the filing of such amendment or supplement despite TD Cowen’s objection shall be to cease making sales under this Agreement) and the Company will furnish to TD Cowen at the time of filing thereof a copy of any document that upon filing is deemed to be incorporated by reference into the Registration Statement or Prospectus, except for those documents available via EDGAR; (iv) the Company will cause each amendment or supplement to the Prospectus, other than documents incorporated by reference, to be filed with the Commission as required pursuant to the applicable paragraph of Rule 424(b) of the Securities Act, and (v) prior to the termination of this Agreement, the Company will notify TD Cowen if at any time the Registration Statement shall no longer be effective as a result of the passage of time pursuant to Rule 415 under the Securities Act or otherwise. Prior to the initial sale of any Placement Shares, the Company shall file the Prospectus Supplement pursuant to Rule 424(b) relating to the Placement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- 21 -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Notice of Commission Stop Orders</w:t>
      </w:r>
      <w:r>
        <w:rPr>
          <w:rFonts w:ascii="Times New Roman;Times;Serif" w:hAnsi="Times New Roman;Times;Serif"/>
          <w:b w:val="false"/>
          <w:i w:val="false"/>
          <w:caps w:val="false"/>
          <w:smallCaps w:val="false"/>
          <w:sz w:val="20"/>
        </w:rPr>
        <w:t>. The Company will advise TD Cowen,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Delivery of Prospectus; Subsequent Changes</w:t>
      </w:r>
      <w:r>
        <w:rPr>
          <w:rFonts w:ascii="Times New Roman;Times;Serif" w:hAnsi="Times New Roman;Times;Serif"/>
          <w:b w:val="false"/>
          <w:i w:val="false"/>
          <w:caps w:val="false"/>
          <w:smallCaps w:val="false"/>
          <w:sz w:val="20"/>
        </w:rPr>
        <w:t xml:space="preserve">. During any period in which a Prospectus relating to the Placement Shares is required to be delivered by TD Cowen under the Securities Act with respect to a pending sale of the Placement Shares, (including in circumstances where such requirement may be satisfied pursuant to Rule 172 under the Securities Act), the Company will comply with all requirements imposed upon it by the Securities Act, as from time to time in force, and will file on or before their respective due dates (taking into account any extensions available under the Exchange Act) all reports and any definitive proxy or information statements required to be filed by the Company with the Commission pursuant to Sections 13(a), 13(c), 14, 15(d) or any other provision of or under the Exchange Act.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TD Cowen to suspend the offering of Placement Shares during such period and the Company will promptly amend or supplement the Registration Statement or Prospectus (at the expense of the Company) so as to correct such statement or omission or effect such compliance;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Company may delay any such amendment or supplement if, in the reasonable judgment of the Company, it is in the interests of the Company to do so. Until such time as the Company shall have corrected such misstatement or omission or effected such compliance, the Company shall not notify TD Cowen to resume the offering of Placement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- 22 -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Listing of Placement Shares</w:t>
      </w:r>
      <w:r>
        <w:rPr>
          <w:rFonts w:ascii="Times New Roman;Times;Serif" w:hAnsi="Times New Roman;Times;Serif"/>
          <w:b w:val="false"/>
          <w:i w:val="false"/>
          <w:caps w:val="false"/>
          <w:smallCaps w:val="false"/>
          <w:sz w:val="20"/>
        </w:rPr>
        <w:t xml:space="preserve">. During any period in which the Prospectus relating to the Placement Shares is required to be delivered by TD Cowen under the Securities Act with respect to a pending sale of the Placement Shares (including in circumstances where such requirement may be satisfied pursuant to Rule 172 under the Securities Act), the Company will use its commercially reasonable efforts to cause the Placement Shares to be listed on Nasdaq and to qualify the Placement Shares for sale under the securities laws of such jurisdictions as TD Cowen reasonably designates and to continue such qualifications in effect so long as required for the distribution of the Placement Shares;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Company shall not be required in connection therewith to qualify as a foreign corporation or dealer in securities or file a general consent to service of process in any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Delivery of Registration Statement and Prospectus</w:t>
      </w:r>
      <w:r>
        <w:rPr>
          <w:rFonts w:ascii="Times New Roman;Times;Serif" w:hAnsi="Times New Roman;Times;Serif"/>
          <w:b w:val="false"/>
          <w:i w:val="false"/>
          <w:caps w:val="false"/>
          <w:smallCaps w:val="false"/>
          <w:sz w:val="20"/>
        </w:rPr>
        <w:t xml:space="preserve">. The Company will furnish to TD Cowen and its counsel (at the expense of the Company) copies of the Registration Statement, the Prospectus (including all documents incorporated by reference therein) and all amendments and supplements to the Registration Statement or Prospectus that are filed with the Commission during any period in which a Prospectus relating to the Placement Shares is required to be delivered under the Securities Act (including all documents filed with the Commission during such period that are deemed to be incorporated by reference therein), in each case as soon as reasonably practicable and in such quantities as TD Cowen may from time to time reasonably request and, at TD Cowen’s request, will also furnish copies of the Prospectus to each exchange or market on which sales of the Placement Shares may be made;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Company shall not be required to furnish any document (other than the Prospectus) to TD Cowen to the extent such document is available on EDGAR.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Earnings Statement</w:t>
      </w:r>
      <w:r>
        <w:rPr>
          <w:rFonts w:ascii="Times New Roman;Times;Serif" w:hAnsi="Times New Roman;Times;Serif"/>
          <w:b w:val="false"/>
          <w:i w:val="false"/>
          <w:caps w:val="false"/>
          <w:smallCaps w:val="false"/>
          <w:sz w:val="20"/>
        </w:rPr>
        <w:t xml:space="preserve">. The Company will make generally available to its security holders as soon as practicable, but in any event not later than 15 months after the end of the Company’s current fiscal quarter, an earnings statement covering a 12-month period that satisfies the provisions of Section 11(a) and Rule 158 of the Securities Act. For the avoidance of doubt, the Company’s compliance with the reporting requirements of the Exchange Act shall be deemed to satisfy the requirements of this </w:t>
      </w:r>
      <w:r>
        <w:rPr>
          <w:rFonts w:ascii="Times New Roman;Times;Serif" w:hAnsi="Times New Roman;Times;Serif"/>
          <w:b w:val="false"/>
          <w:i w:val="false"/>
          <w:caps w:val="false"/>
          <w:smallCaps w:val="false"/>
          <w:sz w:val="20"/>
          <w:u w:val="single"/>
        </w:rPr>
        <w:t>Section 7(f)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xml:space="preserve">. The Company, whether or not the transactions contemplated hereunder are consummated or this Agreement is terminated, in accordance with the provisions of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hereunder, will pay the following expenses all incident to the performance of its obligations hereunder, including, but not limited to, expenses relating to (i) the preparation, printing and filing of the Registration Statement and each amendment and supplement thereto, of each Prospectus and of each amendment and supplement thereto, (ii) the preparation, issuance and delivery of the Placement Shares, (iii) the qualification of the Placement Shares under securities laws in accordance with the provisions of </w:t>
      </w:r>
      <w:r>
        <w:rPr>
          <w:rFonts w:ascii="Times New Roman;Times;Serif" w:hAnsi="Times New Roman;Times;Serif"/>
          <w:b w:val="false"/>
          <w:i w:val="false"/>
          <w:caps w:val="false"/>
          <w:smallCaps w:val="false"/>
          <w:sz w:val="20"/>
          <w:u w:val="single"/>
        </w:rPr>
        <w:t>Section 7(d)</w:t>
      </w:r>
      <w:r>
        <w:rPr>
          <w:rFonts w:ascii="Times New Roman;Times;Serif" w:hAnsi="Times New Roman;Times;Serif"/>
          <w:b w:val="false"/>
          <w:i w:val="false"/>
          <w:caps w:val="false"/>
          <w:smallCaps w:val="false"/>
          <w:sz w:val="20"/>
        </w:rPr>
        <w:t xml:space="preserve"> of this Agreement, including filing fees (provided, however, that any fees or disbursements of counsel for TD Cowen in connection therewith shall be paid by TD Cowen except as set forth in (vii) below), (iv) the printing and delivery to TD Cowen of copies of the Prospectus and any amendments or supplements thereto, and of this Agreement, (v) the fees and expenses incurred in connection with the listing or qualification of the Placement Shares for trading on Nasdaq, (vi) the filing fees and expenses, if any, of the Commission, (vii) the filing fees and associated legal expenses of TD Cowen’s outside counsel for filings with the FINRA Corporate Financing Department, such legal expense reimbursement not to exceed $15,000, and (viii) the reasonable and documented fees and disbursements of TD Cowen’s counsel in amounts not to exceed (A) $75,000 in connection with execution of this Agreement and (B) $25,000 in connection with each Bring-Down Date with respect to which the Company is obligated to deliver a certificate pursuant to </w:t>
      </w:r>
      <w:r>
        <w:rPr>
          <w:rFonts w:ascii="Times New Roman;Times;Serif" w:hAnsi="Times New Roman;Times;Serif"/>
          <w:b w:val="false"/>
          <w:i w:val="false"/>
          <w:caps w:val="false"/>
          <w:smallCaps w:val="false"/>
          <w:sz w:val="20"/>
          <w:u w:val="single"/>
        </w:rPr>
        <w:t>Section 7(m)</w:t>
      </w:r>
      <w:r>
        <w:rPr>
          <w:rFonts w:ascii="Times New Roman;Times;Serif" w:hAnsi="Times New Roman;Times;Serif"/>
          <w:b w:val="false"/>
          <w:i w:val="false"/>
          <w:caps w:val="false"/>
          <w:smallCaps w:val="false"/>
          <w:sz w:val="20"/>
        </w:rPr>
        <w:t>, for which no waiver is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- 23 -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The Company will use the Net Proceeds as described in the Prospectus in the section entitled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Notice of Other Sales</w:t>
      </w:r>
      <w:r>
        <w:rPr>
          <w:rFonts w:ascii="Times New Roman;Times;Serif" w:hAnsi="Times New Roman;Times;Serif"/>
          <w:b w:val="false"/>
          <w:i w:val="false"/>
          <w:caps w:val="false"/>
          <w:smallCaps w:val="false"/>
          <w:sz w:val="20"/>
        </w:rPr>
        <w:t xml:space="preserve">. During the pendency of any Placement Notice given hereunder, and for 5 Trading Days following the termination of any Placement Notice given hereunder, the Company shall provide TD Cowen notice as promptly as reasonably possible before it offers to sell, contracts to sell, sells, grants any option to sell or otherwise disposes of any shares of Common Stock (other than Placement Shares offered pursuant to the provisions of this Agreement) or securities convertible into or exchangeable for Common Stock, warrants or any rights to purchase or acquire Common Stock;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such notice shall not be required in connection with the (i) issuance, grant or sale of Common Stock, options to purchase shares of Common Stock, restricted shares of Common Stock, restricted stock units or other equity awards, or Common Stock issuable upon the exercise of options or other equity awards pursuant to any stock option, stock bonus or other stock plan or arrangement described in the Prospectus, (ii) the issuance of securities in connection with an acquisition, merger or sale or purchase of assets, (iii) the issuance or sale of Common Stock pursuant to any dividend reinvestment plan that the Company may adopt from time to time provided the implementation of such is disclosed to TD Cowen in advance or (iv) any shares of Common Stock issuable upon the exchange, conversion or redemption of securities or the exercise of warrants, options or other rights in effect or outstanding or (v) the issuance or sale of Common Stock, or securities convertible into or exercisable for Common Stock, offered and sold in a privately negotiated transaction to vendors, customers, strategic partners or potential strategic partners conducted in a manner so as not to be integrated with the offering of Common Stock hereby. Nothing contained in this Section 7(i) shall be construed to restrict the Company’s ability, or require the Company to provide notice to TD Cowen, to file a registration statement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Change of Circumstances</w:t>
      </w:r>
      <w:r>
        <w:rPr>
          <w:rFonts w:ascii="Times New Roman;Times;Serif" w:hAnsi="Times New Roman;Times;Serif"/>
          <w:b w:val="false"/>
          <w:i w:val="false"/>
          <w:caps w:val="false"/>
          <w:smallCaps w:val="false"/>
          <w:sz w:val="20"/>
        </w:rPr>
        <w:t>. The Company will, at any time during a fiscal quarter in which the Company intends to tender a Placement Notice or sell Placement Shares, advise TD Cowen promptly after it shall have received notice or obtained knowledge thereof, of any information or fact that would alter or affect in any material respect any opinion, certificate, letter or other document provided to TD Cowen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Due Diligence Cooperation</w:t>
      </w:r>
      <w:r>
        <w:rPr>
          <w:rFonts w:ascii="Times New Roman;Times;Serif" w:hAnsi="Times New Roman;Times;Serif"/>
          <w:b w:val="false"/>
          <w:i w:val="false"/>
          <w:caps w:val="false"/>
          <w:smallCaps w:val="false"/>
          <w:sz w:val="20"/>
        </w:rPr>
        <w:t>. During the term of this Agreement, the Company will cooperate with any reasonable due diligence review conducted by TD Cowen or its agents in connection with the transactions contemplated hereby, including, without limitation, providing information and making available documents and senior corporate officers, during regular business hours and at the Company’s principal offices or such other location mutually agreeable by the parties, as TD Cowen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- 24 -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Required Filings Relating to Placement of Placement Shares</w:t>
      </w:r>
      <w:r>
        <w:rPr>
          <w:rFonts w:ascii="Times New Roman;Times;Serif" w:hAnsi="Times New Roman;Times;Serif"/>
          <w:b w:val="false"/>
          <w:i w:val="false"/>
          <w:caps w:val="false"/>
          <w:smallCaps w:val="false"/>
          <w:sz w:val="20"/>
        </w:rPr>
        <w:t>. The Company agrees that on such dates as the Securities Act shall require, the Company will (i) file a prospectus supplement with the Commission under the applicable paragraph of Rule 424(b) under the Securities Act, and (ii) deliver such number of copies of each such prospectus supplement to each exchange or market on which such sales were effected as may be required by the rules or regulations of such exchange or market. The Company shall disclose in its quarterly reports on Form 10-Q and in its annual report on Form 10-K, the number of the Placement Shares sold through TD Cowen under this Agreement, and the gross proceeds and Net Proceeds to the Company from the sale of the Placement Shares and the compensation paid by the Company with respect to sales of the Placement Shares pursuant to this Agreement during the relevant quarter or, in the case of an Annual Report on Form 10-K, during the fiscal year covered by such Annual Report on Form 10-K and the fourth quarter of such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Bring-Down Dates; Certificate</w:t>
      </w:r>
      <w:r>
        <w:rPr>
          <w:rFonts w:ascii="Times New Roman;Times;Serif" w:hAnsi="Times New Roman;Times;Serif"/>
          <w:b w:val="false"/>
          <w:i w:val="false"/>
          <w:caps w:val="false"/>
          <w:smallCaps w:val="false"/>
          <w:sz w:val="20"/>
        </w:rPr>
        <w:t xml:space="preserve">. On or prior to the First Delivery Date and thereafter, during the term of this Agreement, each time (i) the Company files the Prospectus relating to the Placement Shares or amends or supplements the Registration Statement or the Prospectus relating to the Placement Shares (other than a prospectus supplement filed in accordance with </w:t>
      </w:r>
      <w:r>
        <w:rPr>
          <w:rFonts w:ascii="Times New Roman;Times;Serif" w:hAnsi="Times New Roman;Times;Serif"/>
          <w:b w:val="false"/>
          <w:i w:val="false"/>
          <w:caps w:val="false"/>
          <w:smallCaps w:val="false"/>
          <w:sz w:val="20"/>
          <w:u w:val="single"/>
        </w:rPr>
        <w:t>Section 7(l)</w:t>
      </w:r>
      <w:r>
        <w:rPr>
          <w:rFonts w:ascii="Times New Roman;Times;Serif" w:hAnsi="Times New Roman;Times;Serif"/>
          <w:b w:val="false"/>
          <w:i w:val="false"/>
          <w:caps w:val="false"/>
          <w:smallCaps w:val="false"/>
          <w:sz w:val="20"/>
        </w:rPr>
        <w:t> of this Agreement) by means of a post-effective amendment, sticker, or supplement but not by means of incorporation of document(s) by reference to the Registration Statement or the Prospectus relating to the Placement Shares; (ii) the Company files an annual report on Form 10-K under the Exchange Act; (iii) the Company files its quarterly reports on Form 10-Q under the Exchange Act; or (iv) the Company files a current report on Form 8-K containing amended financial information (other than an earnings release) under the Exchange Act (each date of filing of one or more of the documents referred to in clauses (i) through (iv) shall be a “</w:t>
      </w:r>
      <w:r>
        <w:rPr>
          <w:rFonts w:ascii="Times New Roman;Times;Serif" w:hAnsi="Times New Roman;Times;Serif"/>
          <w:b/>
          <w:i w:val="false"/>
          <w:caps w:val="false"/>
          <w:smallCaps w:val="false"/>
          <w:sz w:val="20"/>
          <w:u w:val="single"/>
        </w:rPr>
        <w:t>Bring-Down Date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shall furnish TD Cowen with a certificate, in the form attached hereto as </w:t>
      </w:r>
      <w:r>
        <w:rPr>
          <w:rFonts w:ascii="Times New Roman;Times;Serif" w:hAnsi="Times New Roman;Times;Serif"/>
          <w:b w:val="false"/>
          <w:i w:val="false"/>
          <w:caps w:val="false"/>
          <w:smallCaps w:val="false"/>
          <w:sz w:val="20"/>
          <w:u w:val="single"/>
        </w:rPr>
        <w:t>Exhibit 7(m)</w:t>
      </w:r>
      <w:r>
        <w:rPr>
          <w:rFonts w:ascii="Times New Roman;Times;Serif" w:hAnsi="Times New Roman;Times;Serif"/>
          <w:b w:val="false"/>
          <w:i w:val="false"/>
          <w:caps w:val="false"/>
          <w:smallCaps w:val="false"/>
          <w:sz w:val="20"/>
        </w:rPr>
        <w:t xml:space="preserve"> within one (1) Trading Day of any Bring-Down Date if requested by TD Cowen. The requirement to provide a certificate under this </w:t>
      </w:r>
      <w:r>
        <w:rPr>
          <w:rFonts w:ascii="Times New Roman;Times;Serif" w:hAnsi="Times New Roman;Times;Serif"/>
          <w:b w:val="false"/>
          <w:i w:val="false"/>
          <w:caps w:val="false"/>
          <w:smallCaps w:val="false"/>
          <w:sz w:val="20"/>
          <w:u w:val="single"/>
        </w:rPr>
        <w:t>Section 7(m)</w:t>
      </w:r>
      <w:r>
        <w:rPr>
          <w:rFonts w:ascii="Times New Roman;Times;Serif" w:hAnsi="Times New Roman;Times;Serif"/>
          <w:b w:val="false"/>
          <w:i w:val="false"/>
          <w:caps w:val="false"/>
          <w:smallCaps w:val="false"/>
          <w:sz w:val="20"/>
        </w:rPr>
        <w:t xml:space="preserve"> shall be automatically waived for any Bring-Down Date occurring at a time at which no Placement Notice is pending, which waiver shall continue until the earlier to occur of the date the Company delivers a Placement Notice hereunder (which for such calendar quarter shall be considered a Bring-Down Date) and the next occurring Bring-Down Date. Notwithstanding the foregoing, if the Company subsequently decides to sell Placement Shares following a Bring-Down Date when the Company relied on such waiver and did not provide TD Cowen with a certificate under this </w:t>
      </w:r>
      <w:r>
        <w:rPr>
          <w:rFonts w:ascii="Times New Roman;Times;Serif" w:hAnsi="Times New Roman;Times;Serif"/>
          <w:b w:val="false"/>
          <w:i w:val="false"/>
          <w:caps w:val="false"/>
          <w:smallCaps w:val="false"/>
          <w:sz w:val="20"/>
          <w:u w:val="single"/>
        </w:rPr>
        <w:t>Section 7(m)</w:t>
      </w:r>
      <w:r>
        <w:rPr>
          <w:rFonts w:ascii="Times New Roman;Times;Serif" w:hAnsi="Times New Roman;Times;Serif"/>
          <w:b w:val="false"/>
          <w:i w:val="false"/>
          <w:caps w:val="false"/>
          <w:smallCaps w:val="false"/>
          <w:sz w:val="20"/>
        </w:rPr>
        <w:t xml:space="preserve">, then before the Company delivers the Placement Notice or TD Cowen sells any Placement Shares, the Company shall provide TD Cowen with a certificate, in the form attached hereto as </w:t>
      </w:r>
      <w:r>
        <w:rPr>
          <w:rFonts w:ascii="Times New Roman;Times;Serif" w:hAnsi="Times New Roman;Times;Serif"/>
          <w:b w:val="false"/>
          <w:i w:val="false"/>
          <w:caps w:val="false"/>
          <w:smallCaps w:val="false"/>
          <w:sz w:val="20"/>
          <w:u w:val="single"/>
        </w:rPr>
        <w:t>Exhibit 7(m)</w:t>
      </w:r>
      <w:r>
        <w:rPr>
          <w:rFonts w:ascii="Times New Roman;Times;Serif" w:hAnsi="Times New Roman;Times;Serif"/>
          <w:b w:val="false"/>
          <w:i w:val="false"/>
          <w:caps w:val="false"/>
          <w:smallCaps w:val="false"/>
          <w:sz w:val="20"/>
        </w:rPr>
        <w:t>, dated the date of the Placement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Legal Opinion</w:t>
      </w:r>
      <w:r>
        <w:rPr>
          <w:rFonts w:ascii="Times New Roman;Times;Serif" w:hAnsi="Times New Roman;Times;Serif"/>
          <w:b w:val="false"/>
          <w:i w:val="false"/>
          <w:caps w:val="false"/>
          <w:smallCaps w:val="false"/>
          <w:sz w:val="20"/>
        </w:rPr>
        <w:t xml:space="preserve">. (i) On or prior to the First Delivery Date and within one (1) Trading Day of each Bring-Down Date with respect to which the Company is obligated to deliver a certificate in the form attached hereto as </w:t>
      </w:r>
      <w:r>
        <w:rPr>
          <w:rFonts w:ascii="Times New Roman;Times;Serif" w:hAnsi="Times New Roman;Times;Serif"/>
          <w:b w:val="false"/>
          <w:i w:val="false"/>
          <w:caps w:val="false"/>
          <w:smallCaps w:val="false"/>
          <w:sz w:val="20"/>
          <w:u w:val="single"/>
        </w:rPr>
        <w:t>Exhibit 7(m)</w:t>
      </w:r>
      <w:r>
        <w:rPr>
          <w:rFonts w:ascii="Times New Roman;Times;Serif" w:hAnsi="Times New Roman;Times;Serif"/>
          <w:b w:val="false"/>
          <w:i w:val="false"/>
          <w:caps w:val="false"/>
          <w:smallCaps w:val="false"/>
          <w:sz w:val="20"/>
        </w:rPr>
        <w:t> for which no waiver is applicable, the Company shall cause to be furnished to TD Cowen (a) a written opinion and (b) a negative assurance letter of Gibson, Dunn &amp; Crutcher LLP (“</w:t>
      </w:r>
      <w:r>
        <w:rPr>
          <w:rFonts w:ascii="Times New Roman;Times;Serif" w:hAnsi="Times New Roman;Times;Serif"/>
          <w:b/>
          <w:i w:val="false"/>
          <w:caps w:val="false"/>
          <w:smallCaps w:val="false"/>
          <w:sz w:val="20"/>
          <w:u w:val="single"/>
        </w:rPr>
        <w:t>Company Counsel</w:t>
      </w:r>
      <w:r>
        <w:rPr>
          <w:rFonts w:ascii="Times New Roman;Times;Serif" w:hAnsi="Times New Roman;Times;Serif"/>
          <w:b w:val="false"/>
          <w:i w:val="false"/>
          <w:caps w:val="false"/>
          <w:smallCaps w:val="false"/>
          <w:sz w:val="20"/>
        </w:rPr>
        <w:t>”) and a written opinion of Wilson Sonsini Goodrich &amp; Rosati, P.C. (“</w:t>
      </w:r>
      <w:r>
        <w:rPr>
          <w:rFonts w:ascii="Times New Roman;Times;Serif" w:hAnsi="Times New Roman;Times;Serif"/>
          <w:b/>
          <w:i w:val="false"/>
          <w:caps w:val="false"/>
          <w:smallCaps w:val="false"/>
          <w:sz w:val="20"/>
          <w:u w:val="single"/>
        </w:rPr>
        <w:t>Intellectual Property Counsel</w:t>
      </w:r>
      <w:r>
        <w:rPr>
          <w:rFonts w:ascii="Times New Roman;Times;Serif" w:hAnsi="Times New Roman;Times;Serif"/>
          <w:b w:val="false"/>
          <w:i w:val="false"/>
          <w:caps w:val="false"/>
          <w:smallCaps w:val="false"/>
          <w:sz w:val="20"/>
        </w:rPr>
        <w:t xml:space="preserve">”), or other counsel satisfactory to TD Cowen, in form and substance reasonably satisfactory to TD Cowen and its counsel, each dated as of the date of delivery;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in lieu of such opinions for subsequent Bring-Down Dates, counsel may furnish TD Cowen with a letter to the effect that TD Cowen may rely on a prior opinion delivered under this </w:t>
      </w:r>
      <w:r>
        <w:rPr>
          <w:rFonts w:ascii="Times New Roman;Times;Serif" w:hAnsi="Times New Roman;Times;Serif"/>
          <w:b w:val="false"/>
          <w:i w:val="false"/>
          <w:caps w:val="false"/>
          <w:smallCaps w:val="false"/>
          <w:sz w:val="20"/>
          <w:u w:val="single"/>
        </w:rPr>
        <w:t>Section 7(n)</w:t>
      </w:r>
      <w:r>
        <w:rPr>
          <w:rFonts w:ascii="Times New Roman;Times;Serif" w:hAnsi="Times New Roman;Times;Serif"/>
          <w:b w:val="false"/>
          <w:i w:val="false"/>
          <w:caps w:val="false"/>
          <w:smallCaps w:val="false"/>
          <w:sz w:val="20"/>
        </w:rPr>
        <w:t> to the same extent as if it were dated the date of such letter (except that statements in such prior opinion shall be deemed to relate to the Registration Statement and the Prospectus as amended or supplemented at such Bring-Down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- 25 -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Comfort Letter</w:t>
      </w:r>
      <w:r>
        <w:rPr>
          <w:rFonts w:ascii="Times New Roman;Times;Serif" w:hAnsi="Times New Roman;Times;Serif"/>
          <w:b w:val="false"/>
          <w:i w:val="false"/>
          <w:caps w:val="false"/>
          <w:smallCaps w:val="false"/>
          <w:sz w:val="20"/>
        </w:rPr>
        <w:t xml:space="preserve">. On or prior to the First Delivery Date and within one (1) Trading Day of each Bring-Down Date with respect to which the Company is obligated to deliver a certificate in the form attached hereto as </w:t>
      </w:r>
      <w:r>
        <w:rPr>
          <w:rFonts w:ascii="Times New Roman;Times;Serif" w:hAnsi="Times New Roman;Times;Serif"/>
          <w:b w:val="false"/>
          <w:i w:val="false"/>
          <w:caps w:val="false"/>
          <w:smallCaps w:val="false"/>
          <w:sz w:val="20"/>
          <w:u w:val="single"/>
        </w:rPr>
        <w:t>Exhibit 7(m)</w:t>
      </w:r>
      <w:r>
        <w:rPr>
          <w:rFonts w:ascii="Times New Roman;Times;Serif" w:hAnsi="Times New Roman;Times;Serif"/>
          <w:b w:val="false"/>
          <w:i w:val="false"/>
          <w:caps w:val="false"/>
          <w:smallCaps w:val="false"/>
          <w:sz w:val="20"/>
        </w:rPr>
        <w:t> for which no waiver is applicable, the Company shall cause its independent accountants to furnish TD Cowen letters (the “</w:t>
      </w:r>
      <w:r>
        <w:rPr>
          <w:rFonts w:ascii="Times New Roman;Times;Serif" w:hAnsi="Times New Roman;Times;Serif"/>
          <w:b/>
          <w:i w:val="false"/>
          <w:caps w:val="false"/>
          <w:smallCaps w:val="false"/>
          <w:sz w:val="20"/>
          <w:u w:val="single"/>
        </w:rPr>
        <w:t>Comfort Letters</w:t>
      </w:r>
      <w:r>
        <w:rPr>
          <w:rFonts w:ascii="Times New Roman;Times;Serif" w:hAnsi="Times New Roman;Times;Serif"/>
          <w:b w:val="false"/>
          <w:i w:val="false"/>
          <w:caps w:val="false"/>
          <w:smallCaps w:val="false"/>
          <w:sz w:val="20"/>
        </w:rPr>
        <w:t>”), dated the date the Comfort Letter is delivered, in form and substance reasonably satisfactory to TD Cowen, (i) confirming that they are an independent registered public accounting firm within the meaning of the Securities Act and the Public Company Accounting Oversight Board, (ii) stating, as of such date, the conclusions and findings of such firm with respect to the financial information and other matters ordinarily covered by accountants’ “comfort letters” to TD Cowen in connection with registered public offerings (the first such letter, the “</w:t>
      </w:r>
      <w:r>
        <w:rPr>
          <w:rFonts w:ascii="Times New Roman;Times;Serif" w:hAnsi="Times New Roman;Times;Serif"/>
          <w:b/>
          <w:i w:val="false"/>
          <w:caps w:val="false"/>
          <w:smallCaps w:val="false"/>
          <w:sz w:val="20"/>
          <w:u w:val="single"/>
        </w:rPr>
        <w:t>Initial Comfort Letter</w:t>
      </w:r>
      <w:r>
        <w:rPr>
          <w:rFonts w:ascii="Times New Roman;Times;Serif" w:hAnsi="Times New Roman;Times;Serif"/>
          <w:b w:val="false"/>
          <w:i w:val="false"/>
          <w:caps w:val="false"/>
          <w:smallCaps w:val="false"/>
          <w:sz w:val="20"/>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Market Activities</w:t>
      </w:r>
      <w:r>
        <w:rPr>
          <w:rFonts w:ascii="Times New Roman;Times;Serif" w:hAnsi="Times New Roman;Times;Serif"/>
          <w:b w:val="false"/>
          <w:i w:val="false"/>
          <w:caps w:val="false"/>
          <w:smallCaps w:val="false"/>
          <w:sz w:val="20"/>
        </w:rPr>
        <w:t>. The Company will not, directly or indirectly, (i) take any action designed to cause or result in, or that constitutes or might reasonably be expected to constitute, the stabilization or manipulation of the price of any security of the Company to facilitate the sale or resale of the Placement Shares or (ii) sell, bid for, or purchase the Common Stock to be issued and sold pursuant to this Agreement, or pay anyone any compensation for soliciting purchases of the Placement Shares other than TD Cowen; provided, however, that the Company may bid for and purchase Common Stock in accordance with Rule 10b-18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and its subsidiaries shall maintain, or cause to be maintained, insurance in such amounts and covering such risks as is reasonable and customary for the business for which it is engaged.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 The Company and each of its subsidiaries shall maintain, or cause to be maintained, all material environmental permits, licenses and other authorizations required by federal, state and local law in order to conduct their businesses as described in the Prospectus, and the Company and each of its subsidiaries shall conduct their businesses, or cause their businesses to be conducted, in substantial compliance with such permits, licenses and authorizations and with applicable environmental laws, except where the failure to maintain or be in compliance with such permits, licenses and authorizations could not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 The Company will conduct its affairs in such a manner so as to reasonably ensure that neither it nor its subsidiaries will be or become, at any time prior to the termination of this Agreement, an “investment company,” as such term is defined in the Investment Company Act, assuming no change in the Commission’s current interpretation as to entities that are not considered an investment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- 26 -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val="false"/>
          <w:caps w:val="false"/>
          <w:smallCaps w:val="false"/>
          <w:sz w:val="20"/>
          <w:u w:val="single"/>
        </w:rPr>
        <w:t>Securities Act and Exchange Act</w:t>
      </w:r>
      <w:r>
        <w:rPr>
          <w:rFonts w:ascii="Times New Roman;Times;Serif" w:hAnsi="Times New Roman;Times;Serif"/>
          <w:b w:val="false"/>
          <w:i w:val="false"/>
          <w:caps w:val="false"/>
          <w:smallCaps w:val="false"/>
          <w:sz w:val="20"/>
        </w:rPr>
        <w:t>. The Company will use its commercially reasonable efforts to comply with all requirements imposed upon it by the Securities Act and the Exchange Act as from time to time in force, so far as necessary to permit the continuance of sales of, or dealings in, the Placement Shares as contemplated by the provisions hereof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val="false"/>
          <w:caps w:val="false"/>
          <w:smallCaps w:val="false"/>
          <w:sz w:val="20"/>
          <w:u w:val="single"/>
        </w:rPr>
        <w:t>No Offer to Sell</w:t>
      </w:r>
      <w:r>
        <w:rPr>
          <w:rFonts w:ascii="Times New Roman;Times;Serif" w:hAnsi="Times New Roman;Times;Serif"/>
          <w:b w:val="false"/>
          <w:i w:val="false"/>
          <w:caps w:val="false"/>
          <w:smallCaps w:val="false"/>
          <w:sz w:val="20"/>
        </w:rPr>
        <w:t>. Other than a Permitted Free Writing Prospectus, neither TD Cowen nor the Company (including its agents and representatives, other than TD Cowen in its capacity as such) will make, use, prepare, authorize, approve or refer to any written communication (as defined in Rule 405 under the Securities Act), required to be filed with the Commission, that constitutes an offer to sell or solicitation of an offer to buy Common Stock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Sarbanes-Oxley Act</w:t>
      </w:r>
      <w:r>
        <w:rPr>
          <w:rFonts w:ascii="Times New Roman;Times;Serif" w:hAnsi="Times New Roman;Times;Serif"/>
          <w:b w:val="false"/>
          <w:i w:val="false"/>
          <w:caps w:val="false"/>
          <w:smallCaps w:val="false"/>
          <w:sz w:val="20"/>
        </w:rPr>
        <w:t>. The Company and its subsidiaries will use their commercially reasonable efforts to comply with all effective applicable provisions of the Sarbanes-Oxley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val="false"/>
          <w:caps w:val="false"/>
          <w:smallCaps w:val="false"/>
          <w:sz w:val="20"/>
          <w:u w:val="single"/>
        </w:rPr>
        <w:t>Affirmation</w:t>
      </w:r>
      <w:r>
        <w:rPr>
          <w:rFonts w:ascii="Times New Roman;Times;Serif" w:hAnsi="Times New Roman;Times;Serif"/>
          <w:b w:val="false"/>
          <w:i w:val="false"/>
          <w:caps w:val="false"/>
          <w:smallCaps w:val="false"/>
          <w:sz w:val="20"/>
        </w:rPr>
        <w:t>. Each Placement Notice delivered by the Company to TD Cowen shall be deemed to be (i) an affirmation that the representations, warranties and agreements of the Company herein contained and contained in any certificate delivered to TD Cowen pursuant hereto are true and correct at the time of delivery of such Placement Notice, and (ii) an undertaking that such representations, warranties and agreements will be true and correct on any applicable Time of Sale and Settlement Date, as though made at and as of each such time (it being understood that such representations, warranties and agreements shall relate to the Registration Statement and the Prospectus as amended and supplemented to the time of such Placement Notice acceptance).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Renewal</w:t>
      </w:r>
      <w:r>
        <w:rPr>
          <w:rFonts w:ascii="Times New Roman;Times;Serif" w:hAnsi="Times New Roman;Times;Serif"/>
          <w:b w:val="false"/>
          <w:i w:val="false"/>
          <w:caps w:val="false"/>
          <w:smallCaps w:val="false"/>
          <w:sz w:val="20"/>
        </w:rPr>
        <w:t>. If immediately prior to the third anniversary (the “</w:t>
      </w:r>
      <w:r>
        <w:rPr>
          <w:rFonts w:ascii="Times New Roman;Times;Serif" w:hAnsi="Times New Roman;Times;Serif"/>
          <w:b/>
          <w:i w:val="false"/>
          <w:caps w:val="false"/>
          <w:smallCaps w:val="false"/>
          <w:sz w:val="20"/>
          <w:u w:val="single"/>
        </w:rPr>
        <w:t>Renewal Deadline</w:t>
      </w:r>
      <w:r>
        <w:rPr>
          <w:rFonts w:ascii="Times New Roman;Times;Serif" w:hAnsi="Times New Roman;Times;Serif"/>
          <w:b w:val="false"/>
          <w:i w:val="false"/>
          <w:caps w:val="false"/>
          <w:smallCaps w:val="false"/>
          <w:sz w:val="20"/>
        </w:rPr>
        <w:t>”) of the initial effective date of the Registration Statement, the aggregate gross sales price of Placement Shares sold by the Company is less than the Maximum Amount and this Agreement has not expired or been terminated, the Company will, prior to the Renewal Deadline, file, if it has not already done so and is eligible to do so, a new shelf registration statement relating to the Placement Shares, in a form satisfactory to TD Cowen, and, if not automatically effective, will use its commercially reasonable efforts to cause such registration statement to be declared effective within 60 days after the Renewal Deadline. The Company will take all other action necessary or appropriate to permit the issuance and sale of the Placement Shares to continue as contemplated in the expired registration statement relating to the Placement Shares. References herein to the Registration Statement shall include such new shelf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Conditions to TD Cowen’s Obligations</w:t>
      </w:r>
      <w:r>
        <w:rPr>
          <w:rFonts w:ascii="Times New Roman;Times;Serif" w:hAnsi="Times New Roman;Times;Serif"/>
          <w:b w:val="false"/>
          <w:i w:val="false"/>
          <w:caps w:val="false"/>
          <w:smallCaps w:val="false"/>
          <w:sz w:val="20"/>
        </w:rPr>
        <w:t>. The obligations of TD Cowen hereunder with respect to a Placement Notice will be subject to the continuing accuracy and completeness of the representations and warranties made by the Company herein, to the due performance by the Company of its obligations hereunder and thereunder, to the completion by TD Cowen of a due diligence review satisfactory to TD Cowen in its reasonable judgment, and to the continuing satisfaction (or waiver by TD Cowen in its sole discretion) of the following additional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Registration Statement Effective</w:t>
      </w:r>
      <w:r>
        <w:rPr>
          <w:rFonts w:ascii="Times New Roman;Times;Serif" w:hAnsi="Times New Roman;Times;Serif"/>
          <w:b w:val="false"/>
          <w:i w:val="false"/>
          <w:caps w:val="false"/>
          <w:smallCaps w:val="false"/>
          <w:sz w:val="20"/>
        </w:rPr>
        <w:t>. The Registration Statement shall be effective and shall be available for (i) all sales of Placement Shares issued pursuant to all prior Placement Notices and (ii) the sale of all Placement Shares contemplated to be issued pursuant to any Placement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- 27 -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 Material Notices</w:t>
      </w:r>
      <w:r>
        <w:rPr>
          <w:rFonts w:ascii="Times New Roman;Times;Serif" w:hAnsi="Times New Roman;Times;Serif"/>
          <w:b w:val="false"/>
          <w:i w:val="false"/>
          <w:caps w:val="false"/>
          <w:smallCaps w:val="false"/>
          <w:sz w:val="20"/>
        </w:rPr>
        <w:t>. None of the following events shall have occurred and be continuing: (i) receipt by the Company or any of its subsidiaries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material statement made in the Registration Statement or the Prospectus or any material document incorporated or deemed to be incorporated therein by reference untrue in any material respect or that requires the making of any changes in the Registration Statement, related Prospectus or such documents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it will not contain any materially untrue statement of a material fact or omit to state any material fact required to be stated therein or necessary to make the statements therein, in the light of the circumstances under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 Misstatement or Material Omission</w:t>
      </w:r>
      <w:r>
        <w:rPr>
          <w:rFonts w:ascii="Times New Roman;Times;Serif" w:hAnsi="Times New Roman;Times;Serif"/>
          <w:b w:val="false"/>
          <w:i w:val="false"/>
          <w:caps w:val="false"/>
          <w:smallCaps w:val="false"/>
          <w:sz w:val="20"/>
        </w:rPr>
        <w:t>. TD Cowen shall not have advised the Company that the Registration Statement or Prospectus, or any amendment or supplement thereto, contains an untrue statement of fact that in TD Cowen’s reasonable opinion is material, or omits to state a fact that in TD Cowen’s reasonable opinion is material and is required to be stated therein or is necessary to make the statements therein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Material Changes</w:t>
      </w:r>
      <w:r>
        <w:rPr>
          <w:rFonts w:ascii="Times New Roman;Times;Serif" w:hAnsi="Times New Roman;Times;Serif"/>
          <w:b w:val="false"/>
          <w:i w:val="false"/>
          <w:caps w:val="false"/>
          <w:smallCaps w:val="false"/>
          <w:sz w:val="20"/>
        </w:rPr>
        <w:t>. Except as contemplated in the Prospectus, or disclosed in the Company’s reports filed with the Commission, there shall not have been any material adverse change, on a consolidated basis, in the authorized capital stock of the Company or any Material Adverse Effect or any development that would reasonably be expected to result in a Material Adverse Effect, or any downgrading in or withdrawal of the rating assigned to any of the Company’s securities (other than asset backed securities) by any rating organization or a public announcement by any rating organization that it has under surveillance or review its rating of any of the Company’s securities (other than asset backed securities), the effect of which, in the case of any such action by a rating organization described above, in the reasonable judgment of TD Cowen (without relieving the Company of any obligation or liability it may otherwise have), is so material as to make it impracticable or inadvisable to proceed with the offering of the Placement Shares on the terms and in the manner contemplated in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Company Counsel Legal Opinion</w:t>
      </w:r>
      <w:r>
        <w:rPr>
          <w:rFonts w:ascii="Times New Roman;Times;Serif" w:hAnsi="Times New Roman;Times;Serif"/>
          <w:b w:val="false"/>
          <w:i w:val="false"/>
          <w:caps w:val="false"/>
          <w:smallCaps w:val="false"/>
          <w:sz w:val="20"/>
        </w:rPr>
        <w:t xml:space="preserve">. TD Cowen shall have received (i) the opinions of Company Counsel and Intellectual Property Counsel and (ii) the negative assurance letter of Company Counsel required to be delivered pursuant to </w:t>
      </w:r>
      <w:r>
        <w:rPr>
          <w:rFonts w:ascii="Times New Roman;Times;Serif" w:hAnsi="Times New Roman;Times;Serif"/>
          <w:b w:val="false"/>
          <w:i w:val="false"/>
          <w:caps w:val="false"/>
          <w:smallCaps w:val="false"/>
          <w:sz w:val="20"/>
          <w:u w:val="single"/>
        </w:rPr>
        <w:t>Section 7(n)</w:t>
      </w:r>
      <w:r>
        <w:rPr>
          <w:rFonts w:ascii="Times New Roman;Times;Serif" w:hAnsi="Times New Roman;Times;Serif"/>
          <w:b w:val="false"/>
          <w:i w:val="false"/>
          <w:caps w:val="false"/>
          <w:smallCaps w:val="false"/>
          <w:sz w:val="20"/>
        </w:rPr>
        <w:t xml:space="preserve"> on or before the date on which such delivery of such opinion is required pursuant to </w:t>
      </w:r>
      <w:r>
        <w:rPr>
          <w:rFonts w:ascii="Times New Roman;Times;Serif" w:hAnsi="Times New Roman;Times;Serif"/>
          <w:b w:val="false"/>
          <w:i w:val="false"/>
          <w:caps w:val="false"/>
          <w:smallCaps w:val="false"/>
          <w:sz w:val="20"/>
          <w:u w:val="single"/>
        </w:rPr>
        <w:t>Section 7(n)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TD Cowen Counsel Legal Opinion</w:t>
      </w:r>
      <w:r>
        <w:rPr>
          <w:rFonts w:ascii="Times New Roman;Times;Serif" w:hAnsi="Times New Roman;Times;Serif"/>
          <w:b w:val="false"/>
          <w:i w:val="false"/>
          <w:caps w:val="false"/>
          <w:smallCaps w:val="false"/>
          <w:sz w:val="20"/>
        </w:rPr>
        <w:t xml:space="preserve">. TD Cowen shall have received from Latham &amp; Watkins LLP, counsel for TD Cowen, such opinion or opinions, on or before the date on which the delivery of the Company Counsel legal opinion is required pursuant to </w:t>
      </w:r>
      <w:r>
        <w:rPr>
          <w:rFonts w:ascii="Times New Roman;Times;Serif" w:hAnsi="Times New Roman;Times;Serif"/>
          <w:b w:val="false"/>
          <w:i w:val="false"/>
          <w:caps w:val="false"/>
          <w:smallCaps w:val="false"/>
          <w:sz w:val="20"/>
          <w:u w:val="single"/>
        </w:rPr>
        <w:t>Section 7(n)</w:t>
      </w:r>
      <w:r>
        <w:rPr>
          <w:rFonts w:ascii="Times New Roman;Times;Serif" w:hAnsi="Times New Roman;Times;Serif"/>
          <w:b w:val="false"/>
          <w:i w:val="false"/>
          <w:caps w:val="false"/>
          <w:smallCaps w:val="false"/>
          <w:sz w:val="20"/>
        </w:rPr>
        <w:t>, with respect to such matters as TD Cowen may reasonably require, and the Company shall have furnished to such counsel such documents as they request for enabling them to pass upon such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- 28 -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Comfort Letter</w:t>
      </w:r>
      <w:r>
        <w:rPr>
          <w:rFonts w:ascii="Times New Roman;Times;Serif" w:hAnsi="Times New Roman;Times;Serif"/>
          <w:b w:val="false"/>
          <w:i w:val="false"/>
          <w:caps w:val="false"/>
          <w:smallCaps w:val="false"/>
          <w:sz w:val="20"/>
        </w:rPr>
        <w:t xml:space="preserve">. TD Cowen shall have received the Comfort Letter required to be delivered pursuant to </w:t>
      </w:r>
      <w:r>
        <w:rPr>
          <w:rFonts w:ascii="Times New Roman;Times;Serif" w:hAnsi="Times New Roman;Times;Serif"/>
          <w:b w:val="false"/>
          <w:i w:val="false"/>
          <w:caps w:val="false"/>
          <w:smallCaps w:val="false"/>
          <w:sz w:val="20"/>
          <w:u w:val="single"/>
        </w:rPr>
        <w:t>Section 7(o)</w:t>
      </w:r>
      <w:r>
        <w:rPr>
          <w:rFonts w:ascii="Times New Roman;Times;Serif" w:hAnsi="Times New Roman;Times;Serif"/>
          <w:b w:val="false"/>
          <w:i w:val="false"/>
          <w:caps w:val="false"/>
          <w:smallCaps w:val="false"/>
          <w:sz w:val="20"/>
        </w:rPr>
        <w:t xml:space="preserve"> on or before the date on which such delivery of such Comfort Letter is required pursuant to </w:t>
      </w:r>
      <w:r>
        <w:rPr>
          <w:rFonts w:ascii="Times New Roman;Times;Serif" w:hAnsi="Times New Roman;Times;Serif"/>
          <w:b w:val="false"/>
          <w:i w:val="false"/>
          <w:caps w:val="false"/>
          <w:smallCaps w:val="false"/>
          <w:sz w:val="20"/>
          <w:u w:val="single"/>
        </w:rPr>
        <w:t>Section 7(o)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Representation Certificate</w:t>
      </w:r>
      <w:r>
        <w:rPr>
          <w:rFonts w:ascii="Times New Roman;Times;Serif" w:hAnsi="Times New Roman;Times;Serif"/>
          <w:b w:val="false"/>
          <w:i w:val="false"/>
          <w:caps w:val="false"/>
          <w:smallCaps w:val="false"/>
          <w:sz w:val="20"/>
        </w:rPr>
        <w:t xml:space="preserve">. TD Cowen shall have received the certificate required to be delivered pursuant to </w:t>
      </w:r>
      <w:r>
        <w:rPr>
          <w:rFonts w:ascii="Times New Roman;Times;Serif" w:hAnsi="Times New Roman;Times;Serif"/>
          <w:b w:val="false"/>
          <w:i w:val="false"/>
          <w:caps w:val="false"/>
          <w:smallCaps w:val="false"/>
          <w:sz w:val="20"/>
          <w:u w:val="single"/>
        </w:rPr>
        <w:t>Section 7(m)</w:t>
      </w:r>
      <w:r>
        <w:rPr>
          <w:rFonts w:ascii="Times New Roman;Times;Serif" w:hAnsi="Times New Roman;Times;Serif"/>
          <w:b w:val="false"/>
          <w:i w:val="false"/>
          <w:caps w:val="false"/>
          <w:smallCaps w:val="false"/>
          <w:sz w:val="20"/>
        </w:rPr>
        <w:t xml:space="preserve"> on or before the date on which delivery of such certificate is required pursuant to </w:t>
      </w:r>
      <w:r>
        <w:rPr>
          <w:rFonts w:ascii="Times New Roman;Times;Serif" w:hAnsi="Times New Roman;Times;Serif"/>
          <w:b w:val="false"/>
          <w:i w:val="false"/>
          <w:caps w:val="false"/>
          <w:smallCaps w:val="false"/>
          <w:sz w:val="20"/>
          <w:u w:val="single"/>
        </w:rPr>
        <w:t>Section 7(m)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Secretary’s Certificate</w:t>
      </w:r>
      <w:r>
        <w:rPr>
          <w:rFonts w:ascii="Times New Roman;Times;Serif" w:hAnsi="Times New Roman;Times;Serif"/>
          <w:b w:val="false"/>
          <w:i w:val="false"/>
          <w:caps w:val="false"/>
          <w:smallCaps w:val="false"/>
          <w:sz w:val="20"/>
        </w:rPr>
        <w:t>. On or prior to the First Delivery Date, TD Cowen shall have received a certificate, signed on behalf of the Company by its corporate secretary, in form and substance reasonably satisfactory to TD Cowen and its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No Suspension</w:t>
      </w:r>
      <w:r>
        <w:rPr>
          <w:rFonts w:ascii="Times New Roman;Times;Serif" w:hAnsi="Times New Roman;Times;Serif"/>
          <w:b w:val="false"/>
          <w:i w:val="false"/>
          <w:caps w:val="false"/>
          <w:smallCaps w:val="false"/>
          <w:sz w:val="20"/>
        </w:rPr>
        <w:t>. Trading in the Common Stock shall not have been suspended on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Other Materials</w:t>
      </w:r>
      <w:r>
        <w:rPr>
          <w:rFonts w:ascii="Times New Roman;Times;Serif" w:hAnsi="Times New Roman;Times;Serif"/>
          <w:b w:val="false"/>
          <w:i w:val="false"/>
          <w:caps w:val="false"/>
          <w:smallCaps w:val="false"/>
          <w:sz w:val="20"/>
        </w:rPr>
        <w:t xml:space="preserve">. On each date on which the Company is required to deliver a certificate pursuant to </w:t>
      </w:r>
      <w:r>
        <w:rPr>
          <w:rFonts w:ascii="Times New Roman;Times;Serif" w:hAnsi="Times New Roman;Times;Serif"/>
          <w:b w:val="false"/>
          <w:i w:val="false"/>
          <w:caps w:val="false"/>
          <w:smallCaps w:val="false"/>
          <w:sz w:val="20"/>
          <w:u w:val="single"/>
        </w:rPr>
        <w:t>Section 7(m)</w:t>
      </w:r>
      <w:r>
        <w:rPr>
          <w:rFonts w:ascii="Times New Roman;Times;Serif" w:hAnsi="Times New Roman;Times;Serif"/>
          <w:b w:val="false"/>
          <w:i w:val="false"/>
          <w:caps w:val="false"/>
          <w:smallCaps w:val="false"/>
          <w:sz w:val="20"/>
        </w:rPr>
        <w:t>, the Company shall have furnished to TD Cowen such appropriate further information, certificates and documents as TD Cowen may have reasonably requested. All such opinions, certificates, letters and other documents shall have been in compliance with the provisions hereof. The Company will furnish TD Cowen with such conformed copies of such opinions, certificates, letters and other documents as TD Cowen shall have reasonably requested.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Securities Act Filings Made</w:t>
      </w:r>
      <w:r>
        <w:rPr>
          <w:rFonts w:ascii="Times New Roman;Times;Serif" w:hAnsi="Times New Roman;Times;Serif"/>
          <w:b w:val="false"/>
          <w:i w:val="false"/>
          <w:caps w:val="false"/>
          <w:smallCaps w:val="false"/>
          <w:sz w:val="20"/>
        </w:rPr>
        <w:t>. All filings with the Commission required by Rule 424 under the Securities Act to have been filed prior to the issuance of any Placement Notice hereunder shall have been made within the applicable time period prescribed for such filing by Rule 424.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Approval for Listing</w:t>
      </w:r>
      <w:r>
        <w:rPr>
          <w:rFonts w:ascii="Times New Roman;Times;Serif" w:hAnsi="Times New Roman;Times;Serif"/>
          <w:b w:val="false"/>
          <w:i w:val="false"/>
          <w:caps w:val="false"/>
          <w:smallCaps w:val="false"/>
          <w:sz w:val="20"/>
        </w:rPr>
        <w:t>. The Placement Shares shall either have been (i) approved for listing on Nasdaq, subject only to notice of issuance, or (ii) the Company shall have filed an application for listing of the Placement Shares on Nasdaq at, or prior to, the issuance of any Placement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No Termination Event</w:t>
      </w:r>
      <w:r>
        <w:rPr>
          <w:rFonts w:ascii="Times New Roman;Times;Serif" w:hAnsi="Times New Roman;Times;Serif"/>
          <w:b w:val="false"/>
          <w:i w:val="false"/>
          <w:caps w:val="false"/>
          <w:smallCaps w:val="false"/>
          <w:sz w:val="20"/>
        </w:rPr>
        <w:t xml:space="preserve">. There shall not have occurred any event that would permit TD Cowen to terminate this Agreement pursuant to </w:t>
      </w:r>
      <w:r>
        <w:rPr>
          <w:rFonts w:ascii="Times New Roman;Times;Serif" w:hAnsi="Times New Roman;Times;Serif"/>
          <w:b w:val="false"/>
          <w:i w:val="false"/>
          <w:caps w:val="false"/>
          <w:smallCaps w:val="false"/>
          <w:sz w:val="20"/>
          <w:u w:val="single"/>
        </w:rPr>
        <w:t>Section 12(a)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Indemnification and Contribution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Company Indemnification</w:t>
      </w:r>
      <w:r>
        <w:rPr>
          <w:rFonts w:ascii="Times New Roman;Times;Serif" w:hAnsi="Times New Roman;Times;Serif"/>
          <w:b w:val="false"/>
          <w:i w:val="false"/>
          <w:caps w:val="false"/>
          <w:smallCaps w:val="false"/>
          <w:sz w:val="20"/>
        </w:rPr>
        <w:t xml:space="preserve">. The Company agrees to indemnify and hold harmless TD Cowen, its affiliates and each of their respective directors, officers, partners, employees and agents of TD Cowen and each person, if any, who (i) controls TD Cowen within the meaning of Section 15 of the Securities Act or Section 20 of the Exchange Act, or (ii) is controlled by or is under common control with TD Cowen from and against any and all losses, claims, liabilities, expenses and damages (including, but not limited to, any and all reasonable and documented investigative, legal and other expenses incurred in connection with, and any and all amounts paid in settlement (in accordance with </w:t>
      </w:r>
      <w:r>
        <w:rPr>
          <w:rFonts w:ascii="Times New Roman;Times;Serif" w:hAnsi="Times New Roman;Times;Serif"/>
          <w:b w:val="false"/>
          <w:i w:val="false"/>
          <w:caps w:val="false"/>
          <w:smallCaps w:val="false"/>
          <w:sz w:val="20"/>
          <w:u w:val="single"/>
        </w:rPr>
        <w:t>Section 10(c)</w:t>
      </w:r>
      <w:r>
        <w:rPr>
          <w:rFonts w:ascii="Times New Roman;Times;Serif" w:hAnsi="Times New Roman;Times;Serif"/>
          <w:b w:val="false"/>
          <w:i w:val="false"/>
          <w:caps w:val="false"/>
          <w:smallCaps w:val="false"/>
          <w:sz w:val="20"/>
        </w:rPr>
        <w:t xml:space="preserve">) of, any action, suit or proceeding between any of the indemnified parties and any indemnifying parties or between any indemnified party and any third party, or otherwise, or any claim asserted), as and when incurred, to which TD Cowen, or any such person, may become subject under the Securities Act, the Exchange Act or other federal or state statutory law or regulation, at common law or otherwise, insofar as such losses, claims, liabilities, expenses or damages arise out of or are based, directly or indirectly, on (x) any untrue statement or alleged untrue statement of a material fact contained in the Registration Statement or the Prospectus or any amendment or supplement to the Registration Statement or the Prospectus or in any free writing prospectus or in any application or other document executed by or on behalf of the Company or based on written information furnished by or on behalf of the Company filed in any jurisdiction in order to qualify the Common Stock under the securities laws thereof or filed with the Commission, (y) the omission or alleged omission to state in any such document a material fact required to be stated in it or necessary to make the statements in it not misleading or (z) any breach by any of the indemnifying parties of any of their respective representations, warranties and agreements contained in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this indemnity agreement shall not apply to the extent that such loss, claim, liability, expense or damage arises from the sale of the Placement Shares pursuant to this Agreement and is caused directly or indirectly by an untrue statement or omission made in reliance upon and in conformity with solely Agent’s Information. “Agent’s Information” means, solely, the following information in the Prospectus: the third sentence in the eighth paragraph and the tenth paragraph under the caption “Plan of Distribution” in the Prospectus. This indemnity agreement will be in addition to any liability that the Company might otherwise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- 29 -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TD Cowen Indemnification</w:t>
      </w:r>
      <w:r>
        <w:rPr>
          <w:rFonts w:ascii="Times New Roman;Times;Serif" w:hAnsi="Times New Roman;Times;Serif"/>
          <w:b w:val="false"/>
          <w:i w:val="false"/>
          <w:caps w:val="false"/>
          <w:smallCaps w:val="false"/>
          <w:sz w:val="20"/>
        </w:rPr>
        <w:t xml:space="preserve">. TD Cowen agrees to indemnify and hold harmless the Company and its directors and each officer of the Company that signed the Registration Statement, and each person, if any, who (i) controls the Company within the meaning of Section 15 of the Securities Act or Section 20 of the Exchange Act or (ii) is controlled by or is under common control with the Company against any and all loss, liability, claim, damage and expense described in the indemnity contained in </w:t>
      </w:r>
      <w:r>
        <w:rPr>
          <w:rFonts w:ascii="Times New Roman;Times;Serif" w:hAnsi="Times New Roman;Times;Serif"/>
          <w:b w:val="false"/>
          <w:i w:val="false"/>
          <w:caps w:val="false"/>
          <w:smallCaps w:val="false"/>
          <w:sz w:val="20"/>
          <w:u w:val="single"/>
        </w:rPr>
        <w:t>Section 10(a)</w:t>
      </w:r>
      <w:r>
        <w:rPr>
          <w:rFonts w:ascii="Times New Roman;Times;Serif" w:hAnsi="Times New Roman;Times;Serif"/>
          <w:b w:val="false"/>
          <w:i w:val="false"/>
          <w:caps w:val="false"/>
          <w:smallCaps w:val="false"/>
          <w:sz w:val="20"/>
        </w:rPr>
        <w:t>, as incurred, but only with respect to untrue statements or omissions, or alleged untrue statements or omissions, made in the Registration Statement (or any amendments thereto) or the Prospectus (or any amendment or supplement thereto) in reliance upon and in conformity with the Agent’s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Procedure</w:t>
      </w:r>
      <w:r>
        <w:rPr>
          <w:rFonts w:ascii="Times New Roman;Times;Serif" w:hAnsi="Times New Roman;Times;Serif"/>
          <w:b w:val="false"/>
          <w:i w:val="false"/>
          <w:caps w:val="false"/>
          <w:smallCaps w:val="false"/>
          <w:sz w:val="20"/>
        </w:rPr>
        <w:t xml:space="preserve">. Any party that proposes to assert the right to be indemnified under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will, promptly after receipt of written notice of commencement of any action against such party in respect of which a claim is to be made against an indemnifying party or parties under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notify in writing each such indemnifying party of the commencement of such action, enclosing a copy of all papers served, but the failure to so notify such indemnifying party will not relieve the indemnifying party from (i) any liability that it might have to any indemnified party otherwise than under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and (ii) any liability that it may have to any indemnified party under the foregoing provision of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legal or other expenses except as provided below and except for the reasonable and documented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within a reasonable time after receiving notice of the commencement of the action, in each of which cases the reasonable and documented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and documented fees, disbursements and other charges of more than one separate firm admitted to practice in such jurisdiction at any one time for all such indemnified party or parties. All such fees, disbursements and other charges will be reimbursed by the indemnifying party promptly after the indemnifying party receives a written invoice relating to fees, disbursements and other charges in reasonable detail.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(whether or not any indemnified party is a party thereto), unless such settlement, compromise or consent (1) includes an unconditional release of each indemnified party from all liability arising or that may arise out of such claim, action or proceeding and (2) does not include a statement as to or an admission of fault, culpability or a failure to act by or on behalf of any indemnified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- 30 -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Contribution</w:t>
      </w:r>
      <w:r>
        <w:rPr>
          <w:rFonts w:ascii="Times New Roman;Times;Serif" w:hAnsi="Times New Roman;Times;Serif"/>
          <w:b w:val="false"/>
          <w:i w:val="false"/>
          <w:caps w:val="false"/>
          <w:smallCaps w:val="false"/>
          <w:sz w:val="20"/>
        </w:rPr>
        <w:t xml:space="preserve">. In order to provide for just and equitable contribution in circumstances in which the indemnification provided for in the foregoing paragraphs of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is applicable in accordance with its terms but for any reason is held to be unavailable from the Company or TD Cowen, the Company and TD Cowen will contribute to the total losses, claims, liabilities, expenses and damages (including any investigative, legal and other expenses reasonably incurred in connection with, and any amount paid in settlement of, any action, suit or proceeding or any claim asserted, but after deducting any contribution received by the Company from persons other than TD Cowen, such as persons who control the Company within the meaning of the Securities Act, officers of the Company who signed the Registration Statement and directors of the Company, who also may be liable for contribution) to which the Company and TD Cowen may be subject in such proportion as shall be appropriate to reflect the relative benefits received by the Company on the one hand and TD Cowen on the other. The relative benefits received by the Company on the one hand and TD Cowen on the other hand shall be deemed to be in the same proportion as the total Net Proceeds from the sale of the Placement Shares (before deducting expenses) received by the Company bear to the total compensation received by TD Cowen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TD Cowen, on the other,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TD Cowen, the intent of the parties and their relative knowledge, access to information and opportunity to correct or prevent such statement or omission. The Company and TD Cowen agree that it would not be just and equitable if contributions pursuant to this </w:t>
      </w:r>
      <w:r>
        <w:rPr>
          <w:rFonts w:ascii="Times New Roman;Times;Serif" w:hAnsi="Times New Roman;Times;Serif"/>
          <w:b w:val="false"/>
          <w:i w:val="false"/>
          <w:caps w:val="false"/>
          <w:smallCaps w:val="false"/>
          <w:sz w:val="20"/>
          <w:u w:val="single"/>
        </w:rPr>
        <w:t>Section 10(d)</w:t>
      </w:r>
      <w:r>
        <w:rPr>
          <w:rFonts w:ascii="Times New Roman;Times;Serif" w:hAnsi="Times New Roman;Times;Serif"/>
          <w:b w:val="false"/>
          <w:i w:val="false"/>
          <w:caps w:val="false"/>
          <w:smallCaps w:val="false"/>
          <w:sz w:val="20"/>
        </w:rPr>
        <w:t xml:space="preserve">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Times New Roman;Times;Serif" w:hAnsi="Times New Roman;Times;Serif"/>
          <w:b w:val="false"/>
          <w:i w:val="false"/>
          <w:caps w:val="false"/>
          <w:smallCaps w:val="false"/>
          <w:sz w:val="20"/>
          <w:u w:val="single"/>
        </w:rPr>
        <w:t>Section 10(d)</w:t>
      </w:r>
      <w:r>
        <w:rPr>
          <w:rFonts w:ascii="Times New Roman;Times;Serif" w:hAnsi="Times New Roman;Times;Serif"/>
          <w:b w:val="false"/>
          <w:i w:val="false"/>
          <w:caps w:val="false"/>
          <w:smallCaps w:val="false"/>
          <w:sz w:val="20"/>
        </w:rPr>
        <w:t xml:space="preserve"> shall be deemed to include, for the purpose of this </w:t>
      </w:r>
      <w:r>
        <w:rPr>
          <w:rFonts w:ascii="Times New Roman;Times;Serif" w:hAnsi="Times New Roman;Times;Serif"/>
          <w:b w:val="false"/>
          <w:i w:val="false"/>
          <w:caps w:val="false"/>
          <w:smallCaps w:val="false"/>
          <w:sz w:val="20"/>
          <w:u w:val="single"/>
        </w:rPr>
        <w:t>Section 10(d)</w:t>
      </w:r>
      <w:r>
        <w:rPr>
          <w:rFonts w:ascii="Times New Roman;Times;Serif" w:hAnsi="Times New Roman;Times;Serif"/>
          <w:b w:val="false"/>
          <w:i w:val="false"/>
          <w:caps w:val="false"/>
          <w:smallCaps w:val="false"/>
          <w:sz w:val="20"/>
        </w:rPr>
        <w:t xml:space="preserve">, any reasonable and documented legal or other expenses reasonably incurred by such indemnified party in connection with investigating or defending any such action or claim to the extent consistent with </w:t>
      </w:r>
      <w:r>
        <w:rPr>
          <w:rFonts w:ascii="Times New Roman;Times;Serif" w:hAnsi="Times New Roman;Times;Serif"/>
          <w:b w:val="false"/>
          <w:i w:val="false"/>
          <w:caps w:val="false"/>
          <w:smallCaps w:val="false"/>
          <w:sz w:val="20"/>
          <w:u w:val="single"/>
        </w:rPr>
        <w:t>Section 10(c)</w:t>
      </w:r>
      <w:r>
        <w:rPr>
          <w:rFonts w:ascii="Times New Roman;Times;Serif" w:hAnsi="Times New Roman;Times;Serif"/>
          <w:b w:val="false"/>
          <w:i w:val="false"/>
          <w:caps w:val="false"/>
          <w:smallCaps w:val="false"/>
          <w:sz w:val="20"/>
        </w:rPr>
        <w:t xml:space="preserve"> hereof. Notwithstanding the foregoing provisions of this </w:t>
      </w:r>
      <w:r>
        <w:rPr>
          <w:rFonts w:ascii="Times New Roman;Times;Serif" w:hAnsi="Times New Roman;Times;Serif"/>
          <w:b w:val="false"/>
          <w:i w:val="false"/>
          <w:caps w:val="false"/>
          <w:smallCaps w:val="false"/>
          <w:sz w:val="20"/>
          <w:u w:val="single"/>
        </w:rPr>
        <w:t>Section 10(d)</w:t>
      </w:r>
      <w:r>
        <w:rPr>
          <w:rFonts w:ascii="Times New Roman;Times;Serif" w:hAnsi="Times New Roman;Times;Serif"/>
          <w:b w:val="false"/>
          <w:i w:val="false"/>
          <w:caps w:val="false"/>
          <w:smallCaps w:val="false"/>
          <w:sz w:val="20"/>
        </w:rPr>
        <w:t xml:space="preserve">, TD Cowen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found not guilty of such fraudulent misrepresentation. For purposes of this </w:t>
      </w:r>
      <w:r>
        <w:rPr>
          <w:rFonts w:ascii="Times New Roman;Times;Serif" w:hAnsi="Times New Roman;Times;Serif"/>
          <w:b w:val="false"/>
          <w:i w:val="false"/>
          <w:caps w:val="false"/>
          <w:smallCaps w:val="false"/>
          <w:sz w:val="20"/>
          <w:u w:val="single"/>
        </w:rPr>
        <w:t>Section 10(d)</w:t>
      </w:r>
      <w:r>
        <w:rPr>
          <w:rFonts w:ascii="Times New Roman;Times;Serif" w:hAnsi="Times New Roman;Times;Serif"/>
          <w:b w:val="false"/>
          <w:i w:val="false"/>
          <w:caps w:val="false"/>
          <w:smallCaps w:val="false"/>
          <w:sz w:val="20"/>
        </w:rPr>
        <w:t xml:space="preserve">, any person who controls a party to this Agreement within the meaning of the Securities Act, and any officers, directors, partners, employees or agents of TD Cowen, will have the same rights to contribution as that party, and each director and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Times New Roman;Times;Serif" w:hAnsi="Times New Roman;Times;Serif"/>
          <w:b w:val="false"/>
          <w:i w:val="false"/>
          <w:caps w:val="false"/>
          <w:smallCaps w:val="false"/>
          <w:sz w:val="20"/>
          <w:u w:val="single"/>
        </w:rPr>
        <w:t>Section 10(d)</w:t>
      </w:r>
      <w:r>
        <w:rPr>
          <w:rFonts w:ascii="Times New Roman;Times;Serif" w:hAnsi="Times New Roman;Times;Serif"/>
          <w:b w:val="false"/>
          <w:i w:val="false"/>
          <w:caps w:val="false"/>
          <w:smallCaps w:val="false"/>
          <w:sz w:val="20"/>
        </w:rPr>
        <w:t xml:space="preserve">, will notify any such party or parties from whom contribution may be sought, but the omission to so notify will not relieve that party or parties from whom contribution may be sought from any other obligation it or they may have under this </w:t>
      </w:r>
      <w:r>
        <w:rPr>
          <w:rFonts w:ascii="Times New Roman;Times;Serif" w:hAnsi="Times New Roman;Times;Serif"/>
          <w:b w:val="false"/>
          <w:i w:val="false"/>
          <w:caps w:val="false"/>
          <w:smallCaps w:val="false"/>
          <w:sz w:val="20"/>
          <w:u w:val="single"/>
        </w:rPr>
        <w:t>Section 10(d)</w:t>
      </w:r>
      <w:r>
        <w:rPr>
          <w:rFonts w:ascii="Times New Roman;Times;Serif" w:hAnsi="Times New Roman;Times;Serif"/>
          <w:b w:val="false"/>
          <w:i w:val="false"/>
          <w:caps w:val="false"/>
          <w:smallCaps w:val="false"/>
          <w:sz w:val="20"/>
        </w:rPr>
        <w:t xml:space="preserve"> except to the extent that the failure to so notify such other party materially prejudiced the substantive rights or defenses of the party from whom contribution is sought. Except for a settlement entered into pursuant to the last sentence of </w:t>
      </w:r>
      <w:r>
        <w:rPr>
          <w:rFonts w:ascii="Times New Roman;Times;Serif" w:hAnsi="Times New Roman;Times;Serif"/>
          <w:b w:val="false"/>
          <w:i w:val="false"/>
          <w:caps w:val="false"/>
          <w:smallCaps w:val="false"/>
          <w:sz w:val="20"/>
          <w:u w:val="single"/>
        </w:rPr>
        <w:t>Section 10(c)</w:t>
      </w:r>
      <w:r>
        <w:rPr>
          <w:rFonts w:ascii="Times New Roman;Times;Serif" w:hAnsi="Times New Roman;Times;Serif"/>
          <w:b w:val="false"/>
          <w:i w:val="false"/>
          <w:caps w:val="false"/>
          <w:smallCaps w:val="false"/>
          <w:sz w:val="20"/>
        </w:rPr>
        <w:t xml:space="preserve"> hereof, no party will be liable for contribution with respect to any action or claim settled without its written consent if such consent is required pursuant to </w:t>
      </w:r>
      <w:r>
        <w:rPr>
          <w:rFonts w:ascii="Times New Roman;Times;Serif" w:hAnsi="Times New Roman;Times;Serif"/>
          <w:b w:val="false"/>
          <w:i w:val="false"/>
          <w:caps w:val="false"/>
          <w:smallCaps w:val="false"/>
          <w:sz w:val="20"/>
          <w:u w:val="single"/>
        </w:rPr>
        <w:t>Section 10(c)</w:t>
      </w:r>
      <w:r>
        <w:rPr>
          <w:rFonts w:ascii="Times New Roman;Times;Serif" w:hAnsi="Times New Roman;Times;Serif"/>
          <w:b w:val="false"/>
          <w:i w:val="false"/>
          <w:caps w:val="false"/>
          <w:smallCaps w:val="false"/>
          <w:sz w:val="20"/>
        </w:rPr>
        <w:t>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- 31 -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Representations and Agreements to Survive Delivery</w:t>
      </w:r>
      <w:r>
        <w:rPr>
          <w:rFonts w:ascii="Times New Roman;Times;Serif" w:hAnsi="Times New Roman;Times;Serif"/>
          <w:b w:val="false"/>
          <w:i w:val="false"/>
          <w:caps w:val="false"/>
          <w:smallCaps w:val="false"/>
          <w:sz w:val="20"/>
        </w:rPr>
        <w:t xml:space="preserve">. The indemnity and contribution agreements contained in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of this Agreement and all representations and warranties of the Company herein or in certificates delivered pursuant hereto shall survive, as of their respective dates, regardless of (i) any investigation made by or on behalf of TD Cowen, any controlling persons, or the Company (or any of their respective officers, directors or controlling persons), (ii) delivery and acceptance of the Placement Shares and payment therefor or (iii) any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TD Cowen shall have the right by giving notice as hereinafter specified at any time to terminate this Agreement if (i) any Material Adverse Effect, or any development that could reasonably be expected to result in a Material Adverse Effect has occurred that, in the reasonable judgment of TD Cowen, may materially impair the ability of TD Cowen to sell the Placement Shares hereunder, (ii) the Company shall have failed, refused or been unable to perform any agreement on its part to be performed hereunder, or (iii) any other condition of TD Cowen’s obligations hereunder is not fulfilled, or (iv) any suspension or limitation of trading in the Placement Shares or in securities generally on Nasdaq shall have occurred. Any such termination shall be without liability of any party to any other party except that the provisions of </w:t>
      </w:r>
      <w:r>
        <w:rPr>
          <w:rFonts w:ascii="Times New Roman;Times;Serif" w:hAnsi="Times New Roman;Times;Serif"/>
          <w:b w:val="false"/>
          <w:i w:val="false"/>
          <w:caps w:val="false"/>
          <w:smallCaps w:val="false"/>
          <w:sz w:val="20"/>
          <w:u w:val="single"/>
        </w:rPr>
        <w:t>Section 7(g)</w:t>
      </w:r>
      <w:r>
        <w:rPr>
          <w:rFonts w:ascii="Times New Roman;Times;Serif" w:hAnsi="Times New Roman;Times;Serif"/>
          <w:b w:val="false"/>
          <w:i w:val="false"/>
          <w:caps w:val="false"/>
          <w:smallCaps w:val="false"/>
          <w:sz w:val="20"/>
        </w:rPr>
        <w:t xml:space="preserve"> (Expenses),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(Indemnification and Contribution),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(Representations and Agreements to Survive Delivery),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 xml:space="preserve"> (Applicable Law; Consent to Jurisdiction) and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xml:space="preserve"> (Waiver of Jury Trial) hereof shall remain in full force and effect notwithstanding such termination. If TD Cowen elects to terminate this Agreement as provided in this </w:t>
      </w:r>
      <w:r>
        <w:rPr>
          <w:rFonts w:ascii="Times New Roman;Times;Serif" w:hAnsi="Times New Roman;Times;Serif"/>
          <w:b w:val="false"/>
          <w:i w:val="false"/>
          <w:caps w:val="false"/>
          <w:smallCaps w:val="false"/>
          <w:sz w:val="20"/>
          <w:u w:val="single"/>
        </w:rPr>
        <w:t>Section 12(a)</w:t>
      </w:r>
      <w:r>
        <w:rPr>
          <w:rFonts w:ascii="Times New Roman;Times;Serif" w:hAnsi="Times New Roman;Times;Serif"/>
          <w:b w:val="false"/>
          <w:i w:val="false"/>
          <w:caps w:val="false"/>
          <w:smallCaps w:val="false"/>
          <w:sz w:val="20"/>
        </w:rPr>
        <w:t xml:space="preserve">, TD Cowen shall provide the required notice as specified in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(Notices).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- 32 -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Times;Serif" w:hAnsi="Times New Roman;Times;Serif"/>
          <w:b w:val="false"/>
          <w:i w:val="false"/>
          <w:caps w:val="false"/>
          <w:smallCaps w:val="false"/>
          <w:sz w:val="20"/>
          <w:u w:val="single"/>
        </w:rPr>
        <w:t>Section 7(g)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xml:space="preserve"> hereof shall remain in full force and effect notwithstanding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TD Cowen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Times;Serif" w:hAnsi="Times New Roman;Times;Serif"/>
          <w:b w:val="false"/>
          <w:i w:val="false"/>
          <w:caps w:val="false"/>
          <w:smallCaps w:val="false"/>
          <w:sz w:val="20"/>
          <w:u w:val="single"/>
        </w:rPr>
        <w:t>Section 7(g)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xml:space="preserve"> hereof shall remain in full force and effect notwithstanding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Unless earlier terminated pursuant to this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this Agreement shall automatically terminate upon the issuance and sale of all of the Placement Shares through TD Cowen on the terms and subject to the conditions set forth herein;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provisions of </w:t>
      </w:r>
      <w:r>
        <w:rPr>
          <w:rFonts w:ascii="Times New Roman;Times;Serif" w:hAnsi="Times New Roman;Times;Serif"/>
          <w:b w:val="false"/>
          <w:i w:val="false"/>
          <w:caps w:val="false"/>
          <w:smallCaps w:val="false"/>
          <w:sz w:val="20"/>
          <w:u w:val="single"/>
        </w:rPr>
        <w:t>Section 7(g)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xml:space="preserve"> hereof shall remain in full force and effect notwithstanding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This Agreement shall remain in full force and effect unless terminated pursuant to </w:t>
      </w:r>
      <w:r>
        <w:rPr>
          <w:rFonts w:ascii="Times New Roman;Times;Serif" w:hAnsi="Times New Roman;Times;Serif"/>
          <w:b w:val="false"/>
          <w:i w:val="false"/>
          <w:caps w:val="false"/>
          <w:smallCaps w:val="false"/>
          <w:sz w:val="20"/>
          <w:u w:val="single"/>
        </w:rPr>
        <w:t>Sections 12(a)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 or (d)</w:t>
      </w:r>
      <w:r>
        <w:rPr>
          <w:rFonts w:ascii="Times New Roman;Times;Serif" w:hAnsi="Times New Roman;Times;Serif"/>
          <w:b w:val="false"/>
          <w:i w:val="false"/>
          <w:caps w:val="false"/>
          <w:smallCaps w:val="false"/>
          <w:sz w:val="20"/>
        </w:rPr>
        <w:t xml:space="preserve"> above or otherwise by mutual agreement of the parties;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 xml:space="preserve">that any such termination by mutual agreement shall in all cases be deemed to provide that </w:t>
      </w:r>
      <w:r>
        <w:rPr>
          <w:rFonts w:ascii="Times New Roman;Times;Serif" w:hAnsi="Times New Roman;Times;Serif"/>
          <w:b w:val="false"/>
          <w:i w:val="false"/>
          <w:caps w:val="false"/>
          <w:smallCaps w:val="false"/>
          <w:sz w:val="20"/>
          <w:u w:val="single"/>
        </w:rPr>
        <w:t>Section 7(g)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xml:space="preserve"> shall remain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Any termination of this Agreement shall be effective on the date specified in such notice of termination;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such termination shall not be effective until the close of business on the date of receipt of such notice by TD Cowen or the Company, as the case may be. If such termination shall occur prior to the Settlement Date for any sale of Placement Shares, such Placement Shares shall settle in accordance with the provisions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In the event of termination of this Agreement prior to the sale of any Placement Shares, TD Cowen shall be entitled only to payment by the Company of the expenses set forth in </w:t>
      </w:r>
      <w:r>
        <w:rPr>
          <w:rFonts w:ascii="Times New Roman;Times;Serif" w:hAnsi="Times New Roman;Times;Serif"/>
          <w:b w:val="false"/>
          <w:i w:val="false"/>
          <w:caps w:val="false"/>
          <w:smallCaps w:val="false"/>
          <w:sz w:val="20"/>
          <w:u w:val="single"/>
        </w:rPr>
        <w:t>Section 7(g)</w:t>
      </w:r>
      <w:r>
        <w:rPr>
          <w:rFonts w:ascii="Times New Roman;Times;Serif" w:hAnsi="Times New Roman;Times;Serif"/>
          <w:b w:val="false"/>
          <w:i w:val="false"/>
          <w:caps w:val="false"/>
          <w:smallCaps w:val="false"/>
          <w:sz w:val="20"/>
        </w:rPr>
        <w: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- 33 -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or other communications required or permitted to be given by any party to any other party pursuant to the terms of this Agreement shall be in writing, unless otherwise specified in this Agreement, and if sent to TD Cowen, shall be delivered to TD Cowen at TD Securities (USA) LLC, 1 Vanderbilt Avenue, New York, NY 10017, Attention: ECM ATM Execution Team, atm-team@tdsecurities.com, with a copy to CIBLegal@tdsecurities.com; or if sent to the Company, shall be delivered to Yarrow Bioscience, Inc., 470 James Street, Suite 007, New Haven, CT 06513, Attention: Rebecca Frey, Pharm.D., Chief Executive Officer, email: rf@yarrowbioscience.com, with a copy to Gibson, Dunn &amp; Crutcher LLP, Attention: Ryan Murr, Esq. and Branden Berns, Esq., email: RMurr@gibsondunn.com and BBerns@gibsondunn.com. 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(with an original to follow) on or before 4:30 p.m., New York City time, on a Business Day (as defined below), or, if such day is not a Business Day, on the next succeeding Business Day, (ii) on the next Business Day after timely delivery to a nationally-recognized overnight courier and (iii) on the Business Day actually received if deposited in the U.S. mail (certified or registered mail, return receipt requested, postage prepaid). For purposes of this Agreement, “</w:t>
      </w:r>
      <w:r>
        <w:rPr>
          <w:rFonts w:ascii="Times New Roman;Times;Serif" w:hAnsi="Times New Roman;Times;Serif"/>
          <w:b/>
          <w:i w:val="false"/>
          <w:caps w:val="false"/>
          <w:smallCaps w:val="false"/>
          <w:sz w:val="20"/>
          <w:u w:val="single"/>
        </w:rPr>
        <w:t>Business Day</w:t>
      </w:r>
      <w:r>
        <w:rPr>
          <w:rFonts w:ascii="Times New Roman;Times;Serif" w:hAnsi="Times New Roman;Times;Serif"/>
          <w:b w:val="false"/>
          <w:i w:val="false"/>
          <w:caps w:val="false"/>
          <w:smallCaps w:val="false"/>
          <w:sz w:val="20"/>
        </w:rPr>
        <w:t>” shall mean any day on which the Nasdaq and commercial banks in the City of New York are open for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xml:space="preserve">. This Agreement shall inure to the benefit of and be binding upon the Company and TD Cowen and their respective successors and the affiliates, controlling persons, officers and directors referred to in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TD Cowen may assign its rights and obligations hereunder to an affiliate of TD Cowen without obtaining the Company’s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Adjustments for Share Splits</w:t>
      </w:r>
      <w:r>
        <w:rPr>
          <w:rFonts w:ascii="Times New Roman;Times;Serif" w:hAnsi="Times New Roman;Times;Serif"/>
          <w:b w:val="false"/>
          <w:i w:val="false"/>
          <w:caps w:val="false"/>
          <w:smallCaps w:val="false"/>
          <w:sz w:val="20"/>
        </w:rPr>
        <w:t>. The parties acknowledge and agree that all share-related numbers contained in this Agreement shall be adjusted to take into account any share split, share dividend or similar event effected with respect to the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Entire Agreement; Amendment; Severability</w:t>
      </w:r>
      <w:r>
        <w:rPr>
          <w:rFonts w:ascii="Times New Roman;Times;Serif" w:hAnsi="Times New Roman;Times;Serif"/>
          <w:b w:val="false"/>
          <w:i w:val="false"/>
          <w:caps w:val="false"/>
          <w:smallCaps w:val="false"/>
          <w:sz w:val="20"/>
        </w:rPr>
        <w:t>.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TD Cowen.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- 34 -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Applicable Law; Consent to Jurisdiction</w:t>
      </w:r>
      <w:r>
        <w:rPr>
          <w:rFonts w:ascii="Times New Roman;Times;Serif" w:hAnsi="Times New Roman;Times;Serif"/>
          <w:b w:val="false"/>
          <w:i w:val="false"/>
          <w:caps w:val="false"/>
          <w:smallCaps w:val="false"/>
          <w:sz w:val="20"/>
        </w:rPr>
        <w:t>. This Agreement shall be governed by, and construed in accordance with, the internal laws of the State of New York without regard to the principles of conflicts of laws. Each party hereby irrevocably submits to the non-exclusive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The Company and TD Cowen each hereby irrevocably waives any right it may have to a trial by jury in respect of any claim based upon or arising out of this Agreement or any transaction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Absence of Fiduciary Relationship</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Company acknowledges and agrees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TD Cowen has been retained solely to act as an arm’s length contractual counterparty to the Company in connection with the sale of the Placement Shares contemplated hereby and that no fiduciary, advisory or agency relationship between the Company and TD Cowen has been created in respect of any of the transactions contemplated by this Agreement, irrespective of whether TD Cowen has advised or is advising the Company on other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is capable of evaluating and understanding and understands and accepts the terms, risks and conditions of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has been advised that TD Cowen and its affiliates are engaged in a broad range of transactions which may involve interests that differ from those of the Company and that TD Cowen has no obligation to disclose such interests and transactions to the Company by virtue of any fiduciary, advisory or agency relationship;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waives, to the fullest extent permitted by law, any claims it may have against TD Cowen, for breach of fiduciary duty or alleged breach of fiduciary duty and agrees that TD Cowen shall have no liability (whether direct or indirect) to the Company in respect of such a fiduciary claim or to any person asserting a fiduciary duty claim on behalf of or in right of the Company, including stockholders, partners, employees or creditors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two or more counterparts, each of which shall be deemed an original, but all of which together shall constitute one and the same instrument. Delivery of an executed Agreement by one party to the other may be made by facsimile or other electronic transmission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- 35 -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Recognition of the U.S. Special Resolution Regimes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event that TD Cowen is a Covered Entity (as defined below) and becomes subject to a proceeding under a U.S. Special Resolution Regime (as defined below), the transfer from TD Cowen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that TD Cowen is a Covered Entity and TD Cowen or a BHC Act Affiliate (as defined below) of TD Cowen becomes subject to a proceeding under a U.S. Special Resolution Regime, Default Rights (as defined below) under this Agreement that may be exercised against TD Cowen are permitted to be exercised to no greater extent than such Default Rights could be exercised under the U.S. Special Resolution Regime if this Agreement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purposes of this Section 21; (a) “</w:t>
      </w:r>
      <w:r>
        <w:rPr>
          <w:rFonts w:ascii="Times New Roman;Times;Serif" w:hAnsi="Times New Roman;Times;Serif"/>
          <w:b/>
          <w:i w:val="false"/>
          <w:caps w:val="false"/>
          <w:smallCaps w:val="false"/>
          <w:sz w:val="20"/>
          <w:u w:val="single"/>
        </w:rPr>
        <w:t>BHC Act Affiliate</w:t>
      </w:r>
      <w:r>
        <w:rPr>
          <w:rFonts w:ascii="Times New Roman;Times;Serif" w:hAnsi="Times New Roman;Times;Serif"/>
          <w:b w:val="false"/>
          <w:i w:val="false"/>
          <w:caps w:val="false"/>
          <w:smallCaps w:val="false"/>
          <w:sz w:val="20"/>
        </w:rPr>
        <w:t>” has the meaning assigned to the term “affiliate” in, and shall be interpreted in accordance with, 12 U.S.C. § 1841(k), (b) “</w:t>
      </w:r>
      <w:r>
        <w:rPr>
          <w:rFonts w:ascii="Times New Roman;Times;Serif" w:hAnsi="Times New Roman;Times;Serif"/>
          <w:b/>
          <w:i w:val="false"/>
          <w:caps w:val="false"/>
          <w:smallCaps w:val="false"/>
          <w:sz w:val="20"/>
          <w:u w:val="single"/>
        </w:rPr>
        <w:t>Covered Entity</w:t>
      </w:r>
      <w:r>
        <w:rPr>
          <w:rFonts w:ascii="Times New Roman;Times;Serif" w:hAnsi="Times New Roman;Times;Serif"/>
          <w:b w:val="false"/>
          <w:i w:val="false"/>
          <w:caps w:val="false"/>
          <w:smallCaps w:val="false"/>
          <w:sz w:val="20"/>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w:t>
      </w:r>
      <w:r>
        <w:rPr>
          <w:rFonts w:ascii="Times New Roman;Times;Serif" w:hAnsi="Times New Roman;Times;Serif"/>
          <w:b/>
          <w:i w:val="false"/>
          <w:caps w:val="false"/>
          <w:smallCaps w:val="false"/>
          <w:sz w:val="20"/>
          <w:u w:val="single"/>
        </w:rPr>
        <w:t>Default Right</w:t>
      </w:r>
      <w:r>
        <w:rPr>
          <w:rFonts w:ascii="Times New Roman;Times;Serif" w:hAnsi="Times New Roman;Times;Serif"/>
          <w:b w:val="false"/>
          <w:i w:val="false"/>
          <w:caps w:val="false"/>
          <w:smallCaps w:val="false"/>
          <w:sz w:val="20"/>
        </w:rPr>
        <w:t>” has the meaning assigned to that term in, and shall be interpreted in accordance with, 12 C.F.R. §§ 252.81, 47.2 or 382.1, as applicable, and (d) “</w:t>
      </w:r>
      <w:r>
        <w:rPr>
          <w:rFonts w:ascii="Times New Roman;Times;Serif" w:hAnsi="Times New Roman;Times;Serif"/>
          <w:b/>
          <w:i w:val="false"/>
          <w:caps w:val="false"/>
          <w:smallCaps w:val="false"/>
          <w:sz w:val="20"/>
          <w:u w:val="single"/>
        </w:rPr>
        <w:t>U.S. Special Resolution Regime</w:t>
      </w:r>
      <w:r>
        <w:rPr>
          <w:rFonts w:ascii="Times New Roman;Times;Serif" w:hAnsi="Times New Roman;Times;Serif"/>
          <w:b w:val="false"/>
          <w:i w:val="false"/>
          <w:caps w:val="false"/>
          <w:smallCaps w:val="false"/>
          <w:sz w:val="20"/>
        </w:rPr>
        <w:t>” means each of (i) the Federal Deposit Insurance Act and the regulations promulgated thereunder and (ii) Title II of the Dodd-Frank Wall Street Reform and Consumer Protection Act and the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[Remainder of Page Intentionally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- 36 -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correctly sets forth the understanding between the Company and TD Cowen, please so indicate in the space provided below for that purpose, whereupon this letter shall constitute a binding agreement between the Company and TD Cowen.</w:t>
      </w:r>
    </w:p>
    <w:p>
      <w:pPr>
        <w:pStyle w:val="TextBody"/>
        <w:bidi w:val="0"/>
        <w:spacing w:before="0" w:after="0"/>
        <w:ind w:left="0" w:right="0" w:hanging="0"/>
        <w:jc w:val="left"/>
        <w:rPr>
          <w:caps w:val="false"/>
          <w:smallCaps w:val="false"/>
        </w:rPr>
      </w:pPr>
      <w:r>
        <w:rPr>
          <w:caps w:val="false"/>
          <w:smallCaps w:val="false"/>
        </w:rPr>
        <w:t> </w:t>
      </w:r>
    </w:p>
    <w:tbl>
      <w:tblPr>
        <w:tblW w:w="3979" w:type="dxa"/>
        <w:jc w:val="left"/>
        <w:tblInd w:w="0" w:type="dxa"/>
        <w:tblLayout w:type="fixed"/>
        <w:tblCellMar>
          <w:top w:w="0" w:type="dxa"/>
          <w:left w:w="0" w:type="dxa"/>
          <w:bottom w:w="0" w:type="dxa"/>
          <w:right w:w="0" w:type="dxa"/>
        </w:tblCellMar>
      </w:tblPr>
      <w:tblGrid>
        <w:gridCol w:w="75"/>
        <w:gridCol w:w="871"/>
        <w:gridCol w:w="3033"/>
      </w:tblGrid>
      <w:tr>
        <w:trPr/>
        <w:tc>
          <w:tcPr>
            <w:tcW w:w="75" w:type="dxa"/>
            <w:tcBorders/>
            <w:vAlign w:val="center"/>
          </w:tcPr>
          <w:p>
            <w:pPr>
              <w:pStyle w:val="TableContents"/>
              <w:bidi w:val="0"/>
              <w:spacing w:before="0" w:after="283"/>
              <w:jc w:val="left"/>
              <w:rPr/>
            </w:pPr>
            <w:r>
              <w:rPr/>
              <w:t> </w:t>
            </w:r>
          </w:p>
        </w:tc>
        <w:tc>
          <w:tcPr>
            <w:tcW w:w="390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390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0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TD SECURITIES (USA) LLC</w:t>
            </w:r>
          </w:p>
        </w:tc>
      </w:tr>
      <w:tr>
        <w:trPr/>
        <w:tc>
          <w:tcPr>
            <w:tcW w:w="75" w:type="dxa"/>
            <w:tcBorders/>
            <w:vAlign w:val="center"/>
          </w:tcPr>
          <w:p>
            <w:pPr>
              <w:pStyle w:val="TableContents"/>
              <w:bidi w:val="0"/>
              <w:spacing w:before="0" w:after="283"/>
              <w:jc w:val="left"/>
              <w:rPr/>
            </w:pPr>
            <w:r>
              <w:rPr/>
              <w:t> </w:t>
            </w:r>
          </w:p>
        </w:tc>
        <w:tc>
          <w:tcPr>
            <w:tcW w:w="390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303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Murphy</w:t>
            </w:r>
          </w:p>
        </w:tc>
      </w:tr>
      <w:tr>
        <w:trPr/>
        <w:tc>
          <w:tcPr>
            <w:tcW w:w="75"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Murphy</w:t>
            </w:r>
          </w:p>
        </w:tc>
      </w:tr>
      <w:tr>
        <w:trPr/>
        <w:tc>
          <w:tcPr>
            <w:tcW w:w="75"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r>
      <w:tr>
        <w:trPr/>
        <w:tc>
          <w:tcPr>
            <w:tcW w:w="75" w:type="dxa"/>
            <w:tcBorders/>
            <w:vAlign w:val="center"/>
          </w:tcPr>
          <w:p>
            <w:pPr>
              <w:pStyle w:val="TableContents"/>
              <w:bidi w:val="0"/>
              <w:spacing w:before="0" w:after="283"/>
              <w:jc w:val="left"/>
              <w:rPr/>
            </w:pPr>
            <w:r>
              <w:rPr/>
              <w:t> </w:t>
            </w:r>
          </w:p>
        </w:tc>
        <w:tc>
          <w:tcPr>
            <w:tcW w:w="390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0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ACCEPTED as of the date first-above written:</w:t>
            </w:r>
          </w:p>
        </w:tc>
      </w:tr>
      <w:tr>
        <w:trPr/>
        <w:tc>
          <w:tcPr>
            <w:tcW w:w="75" w:type="dxa"/>
            <w:tcBorders/>
            <w:vAlign w:val="center"/>
          </w:tcPr>
          <w:p>
            <w:pPr>
              <w:pStyle w:val="TableContents"/>
              <w:bidi w:val="0"/>
              <w:spacing w:before="0" w:after="283"/>
              <w:jc w:val="left"/>
              <w:rPr/>
            </w:pPr>
            <w:r>
              <w:rPr/>
              <w:t> </w:t>
            </w:r>
          </w:p>
        </w:tc>
        <w:tc>
          <w:tcPr>
            <w:tcW w:w="390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0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YARROW BIOSCIENCE, INC.</w:t>
            </w:r>
          </w:p>
        </w:tc>
      </w:tr>
      <w:tr>
        <w:trPr/>
        <w:tc>
          <w:tcPr>
            <w:tcW w:w="75" w:type="dxa"/>
            <w:tcBorders/>
            <w:vAlign w:val="center"/>
          </w:tcPr>
          <w:p>
            <w:pPr>
              <w:pStyle w:val="TableContents"/>
              <w:bidi w:val="0"/>
              <w:spacing w:before="0" w:after="283"/>
              <w:jc w:val="left"/>
              <w:rPr/>
            </w:pPr>
            <w:r>
              <w:rPr/>
              <w:t> </w:t>
            </w:r>
          </w:p>
        </w:tc>
        <w:tc>
          <w:tcPr>
            <w:tcW w:w="390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3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Tyler Zeronda</w:t>
            </w:r>
          </w:p>
        </w:tc>
      </w:tr>
      <w:tr>
        <w:trPr/>
        <w:tc>
          <w:tcPr>
            <w:tcW w:w="75"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Tyler Zeronda</w:t>
            </w:r>
          </w:p>
        </w:tc>
      </w:tr>
      <w:tr>
        <w:trPr/>
        <w:tc>
          <w:tcPr>
            <w:tcW w:w="75"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- 37 -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form of PLACEMENT NOTICE</w:t>
      </w:r>
    </w:p>
    <w:p>
      <w:pPr>
        <w:pStyle w:val="TextBody"/>
        <w:bidi w:val="0"/>
        <w:spacing w:before="0" w:after="0"/>
        <w:ind w:left="0" w:right="0" w:hanging="0"/>
        <w:jc w:val="left"/>
        <w:rPr>
          <w:caps w:val="false"/>
          <w:smallCaps w:val="false"/>
        </w:rPr>
      </w:pPr>
      <w:r>
        <w:rPr>
          <w:caps w:val="false"/>
          <w:smallCaps w:val="false"/>
        </w:rPr>
        <w:t> </w:t>
      </w:r>
    </w:p>
    <w:tbl>
      <w:tblPr>
        <w:tblW w:w="6070" w:type="dxa"/>
        <w:jc w:val="left"/>
        <w:tblInd w:w="0" w:type="dxa"/>
        <w:tblLayout w:type="fixed"/>
        <w:tblCellMar>
          <w:top w:w="0" w:type="dxa"/>
          <w:left w:w="0" w:type="dxa"/>
          <w:bottom w:w="0" w:type="dxa"/>
          <w:right w:w="0" w:type="dxa"/>
        </w:tblCellMar>
      </w:tblPr>
      <w:tblGrid>
        <w:gridCol w:w="800"/>
        <w:gridCol w:w="5270"/>
      </w:tblGrid>
      <w:tr>
        <w:trPr/>
        <w:tc>
          <w:tcPr>
            <w:tcW w:w="800" w:type="dxa"/>
            <w:tcBorders/>
            <w:vAlign w:val="center"/>
          </w:tcPr>
          <w:p>
            <w:pPr>
              <w:pStyle w:val="TableContents"/>
              <w:bidi w:val="0"/>
              <w:spacing w:before="0" w:after="283"/>
              <w:jc w:val="left"/>
              <w:rPr/>
            </w:pPr>
            <w:r>
              <w:rPr/>
              <w:t>From:</w:t>
            </w:r>
          </w:p>
        </w:tc>
        <w:tc>
          <w:tcPr>
            <w:tcW w:w="5270"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pPr>
            <w:r>
              <w:rPr/>
              <w:t>Cc:</w:t>
            </w:r>
          </w:p>
        </w:tc>
        <w:tc>
          <w:tcPr>
            <w:tcW w:w="5270"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pPr>
            <w:r>
              <w:rPr/>
              <w:t>To:</w:t>
            </w:r>
          </w:p>
        </w:tc>
        <w:tc>
          <w:tcPr>
            <w:tcW w:w="5270" w:type="dxa"/>
            <w:tcBorders/>
            <w:vAlign w:val="center"/>
          </w:tcPr>
          <w:p>
            <w:pPr>
              <w:pStyle w:val="TableContents"/>
              <w:bidi w:val="0"/>
              <w:spacing w:before="0" w:after="283"/>
              <w:jc w:val="both"/>
              <w:rPr/>
            </w:pPr>
            <w:r>
              <w:rPr/>
              <w:t>[                                     ]</w:t>
            </w:r>
          </w:p>
        </w:tc>
      </w:tr>
      <w:tr>
        <w:trPr/>
        <w:tc>
          <w:tcPr>
            <w:tcW w:w="800" w:type="dxa"/>
            <w:tcBorders/>
            <w:vAlign w:val="center"/>
          </w:tcPr>
          <w:p>
            <w:pPr>
              <w:pStyle w:val="TableContents"/>
              <w:bidi w:val="0"/>
              <w:spacing w:before="0" w:after="283"/>
              <w:jc w:val="left"/>
              <w:rPr/>
            </w:pPr>
            <w:r>
              <w:rPr/>
              <w:t>Subject:</w:t>
            </w:r>
          </w:p>
        </w:tc>
        <w:tc>
          <w:tcPr>
            <w:tcW w:w="5270" w:type="dxa"/>
            <w:tcBorders/>
            <w:vAlign w:val="center"/>
          </w:tcPr>
          <w:p>
            <w:pPr>
              <w:pStyle w:val="TableContents"/>
              <w:bidi w:val="0"/>
              <w:spacing w:before="0" w:after="283"/>
              <w:jc w:val="both"/>
              <w:rPr/>
            </w:pPr>
            <w:r>
              <w:rPr/>
              <w:t>TD Cowen At the Market Offering—Placement Notice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and subject to the conditions contained in the Amended and Restated Sales Agreement between Yarrow Bioscience,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TD Securities (USA) LLC (“</w:t>
      </w:r>
      <w:r>
        <w:rPr>
          <w:rFonts w:ascii="Times New Roman;Times;Serif" w:hAnsi="Times New Roman;Times;Serif"/>
          <w:b w:val="false"/>
          <w:i w:val="false"/>
          <w:caps w:val="false"/>
          <w:smallCaps w:val="false"/>
          <w:sz w:val="20"/>
          <w:u w:val="single"/>
        </w:rPr>
        <w:t>TD Cowen</w:t>
      </w:r>
      <w:r>
        <w:rPr>
          <w:rFonts w:ascii="Times New Roman;Times;Serif" w:hAnsi="Times New Roman;Times;Serif"/>
          <w:b w:val="false"/>
          <w:i w:val="false"/>
          <w:caps w:val="false"/>
          <w:smallCaps w:val="false"/>
          <w:sz w:val="20"/>
        </w:rPr>
        <w:t>”) dated August 13, 2026 (the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 hereby request on behalf of the Company that TD Cowen sell up to [ ] shares of the Company’s common stock, par value $0.0001 per share, at a minimum market price of $_______ per share. Sales should begin on the date of this Notice and shall continue until [DATE] [all shares are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Notice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Company</w:t>
      </w:r>
    </w:p>
    <w:p>
      <w:pPr>
        <w:pStyle w:val="TextBody"/>
        <w:bidi w:val="0"/>
        <w:spacing w:before="0" w:after="0"/>
        <w:ind w:left="0" w:right="0" w:hanging="0"/>
        <w:jc w:val="left"/>
        <w:rPr>
          <w:caps w:val="false"/>
          <w:smallCaps w:val="false"/>
        </w:rPr>
      </w:pPr>
      <w:r>
        <w:rPr>
          <w:caps w:val="false"/>
          <w:smallCaps w:val="false"/>
        </w:rPr>
        <w:t> </w:t>
      </w:r>
    </w:p>
    <w:tbl>
      <w:tblPr>
        <w:tblW w:w="3910" w:type="dxa"/>
        <w:jc w:val="left"/>
        <w:tblInd w:w="0" w:type="dxa"/>
        <w:tblLayout w:type="fixed"/>
        <w:tblCellMar>
          <w:top w:w="0" w:type="dxa"/>
          <w:left w:w="0" w:type="dxa"/>
          <w:bottom w:w="0" w:type="dxa"/>
          <w:right w:w="0" w:type="dxa"/>
        </w:tblCellMar>
      </w:tblPr>
      <w:tblGrid>
        <w:gridCol w:w="1955"/>
        <w:gridCol w:w="1955"/>
      </w:tblGrid>
      <w:tr>
        <w:trPr/>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Rebecca Frey, Pharm.D.</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95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Tyler Zeronda</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TD Cowen</w:t>
      </w:r>
    </w:p>
    <w:p>
      <w:pPr>
        <w:pStyle w:val="TextBody"/>
        <w:bidi w:val="0"/>
        <w:spacing w:before="0" w:after="0"/>
        <w:ind w:left="0" w:right="0" w:hanging="0"/>
        <w:jc w:val="left"/>
        <w:rPr>
          <w:caps w:val="false"/>
          <w:smallCaps w:val="false"/>
        </w:rPr>
      </w:pPr>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1580"/>
        <w:gridCol w:w="1640"/>
      </w:tblGrid>
      <w:tr>
        <w:trPr/>
        <w:tc>
          <w:tcPr>
            <w:tcW w:w="15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J. Murphy</w:t>
            </w:r>
          </w:p>
        </w:tc>
        <w:tc>
          <w:tcPr>
            <w:tcW w:w="1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r>
      <w:tr>
        <w:trPr/>
        <w:tc>
          <w:tcPr>
            <w:tcW w:w="1580" w:type="dxa"/>
            <w:tcBorders/>
            <w:vAlign w:val="center"/>
          </w:tcPr>
          <w:p>
            <w:pPr>
              <w:pStyle w:val="TableContents"/>
              <w:bidi w:val="0"/>
              <w:spacing w:before="0" w:after="283"/>
              <w:jc w:val="left"/>
              <w:rPr>
                <w:caps w:val="false"/>
                <w:smallCaps w:val="false"/>
              </w:rPr>
            </w:pPr>
            <w:r>
              <w:rPr>
                <w:caps w:val="false"/>
                <w:smallCaps w:val="false"/>
              </w:rPr>
              <w:t> </w:t>
            </w:r>
          </w:p>
        </w:tc>
        <w:tc>
          <w:tcPr>
            <w:tcW w:w="1640"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Follis</w:t>
            </w:r>
          </w:p>
        </w:tc>
        <w:tc>
          <w:tcPr>
            <w:tcW w:w="1640"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TD Cowen shall be paid compensation up to 3.0% of the gross proceeds from the sales of Common Stock pursuant to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7(m)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OFFICER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undersigned, the duly qualified and elected _______________________ of </w:t>
      </w:r>
      <w:r>
        <w:rPr>
          <w:rFonts w:ascii="Times New Roman;Times;Serif" w:hAnsi="Times New Roman;Times;Serif"/>
          <w:b/>
          <w:i w:val="false"/>
          <w:caps w:val="false"/>
          <w:smallCaps w:val="false"/>
          <w:sz w:val="20"/>
        </w:rPr>
        <w:t>Yarrow Bioscience, Inc.</w:t>
      </w:r>
      <w:r>
        <w:rPr>
          <w:rFonts w:ascii="Times New Roman;Times;Serif" w:hAnsi="Times New Roman;Times;Serif"/>
          <w:b w:val="false"/>
          <w:i w:val="false"/>
          <w:caps w:val="false"/>
          <w:smallCaps w:val="false"/>
          <w:sz w:val="20"/>
        </w:rPr>
        <w:t>, a Delaware corporation (the “</w:t>
      </w:r>
      <w:r>
        <w:rPr>
          <w:rFonts w:ascii="Times New Roman;Times;Serif" w:hAnsi="Times New Roman;Times;Serif"/>
          <w:b/>
          <w:i w:val="false"/>
          <w:caps w:val="false"/>
          <w:smallCaps w:val="false"/>
          <w:sz w:val="20"/>
          <w:u w:val="single"/>
        </w:rPr>
        <w:t>Company</w:t>
      </w:r>
      <w:r>
        <w:rPr>
          <w:rFonts w:ascii="Times New Roman;Times;Serif" w:hAnsi="Times New Roman;Times;Serif"/>
          <w:b w:val="false"/>
          <w:i w:val="false"/>
          <w:caps w:val="false"/>
          <w:smallCaps w:val="false"/>
          <w:sz w:val="20"/>
        </w:rPr>
        <w:t xml:space="preserve">”), does hereby certify in such capacity and on behalf of the Company, pursuant to </w:t>
      </w:r>
      <w:r>
        <w:rPr>
          <w:rFonts w:ascii="Times New Roman;Times;Serif" w:hAnsi="Times New Roman;Times;Serif"/>
          <w:b w:val="false"/>
          <w:i w:val="false"/>
          <w:caps w:val="false"/>
          <w:smallCaps w:val="false"/>
          <w:sz w:val="20"/>
          <w:u w:val="single"/>
        </w:rPr>
        <w:t>Section 7(m)</w:t>
      </w:r>
      <w:r>
        <w:rPr>
          <w:rFonts w:ascii="Times New Roman;Times;Serif" w:hAnsi="Times New Roman;Times;Serif"/>
          <w:b w:val="false"/>
          <w:i w:val="false"/>
          <w:caps w:val="false"/>
          <w:smallCaps w:val="false"/>
          <w:sz w:val="20"/>
        </w:rPr>
        <w:t> of the Amended and Restated Sales Agreement dated August 13, 2026 (the “</w:t>
      </w:r>
      <w:r>
        <w:rPr>
          <w:rFonts w:ascii="Times New Roman;Times;Serif" w:hAnsi="Times New Roman;Times;Serif"/>
          <w:b/>
          <w:i w:val="false"/>
          <w:caps w:val="false"/>
          <w:smallCaps w:val="false"/>
          <w:sz w:val="20"/>
          <w:u w:val="single"/>
        </w:rPr>
        <w:t>Sales Agreement</w:t>
      </w:r>
      <w:r>
        <w:rPr>
          <w:rFonts w:ascii="Times New Roman;Times;Serif" w:hAnsi="Times New Roman;Times;Serif"/>
          <w:b w:val="false"/>
          <w:i w:val="false"/>
          <w:caps w:val="false"/>
          <w:smallCaps w:val="false"/>
          <w:sz w:val="20"/>
        </w:rPr>
        <w:t>”) between the Company and TD Securities (USA) LLC, that to the best of the knowledge of the undersigned: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representations and warranties of the Company in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of the Sales Agreement (A) to the extent such representations and warranties are subject to qualifications and exceptions contained therein relating to materiality or Material Adverse Effect, are true and correct on and as of the date hereof with the same force and effect as if expressly made on and as of the date hereof, except for those representations and warranties that speak solely as of a specific date and which were true and correct as of such date, and (B) to the extent such representations and warranties are not subject to any qualifications or exceptions, are true and correct in all material respects as of the date hereof as if made on and as of the date hereof with the same force and effect as if expressly made on and as of the date hereof except for those representations and warranties that speak solely as of a specific date and which were true and correct as of such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has complied with all agreements and satisfied all conditions on its part to be performed or satisfied pursuant to the Sales Agreement at or prior to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Gibson, Dunn &amp; Crutcher LLP and Latham &amp; Watkins LLP are entitled to rely on this certificate in connection with the respective opinions such firms are rendering pursuant to the Sales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herein without definition shall have the meanings given to such terms in the Sales Agreement.</w:t>
      </w:r>
    </w:p>
    <w:p>
      <w:pPr>
        <w:pStyle w:val="TextBody"/>
        <w:bidi w:val="0"/>
        <w:spacing w:before="0" w:after="0"/>
        <w:ind w:left="0" w:right="0" w:hanging="0"/>
        <w:jc w:val="left"/>
        <w:rPr>
          <w:caps w:val="false"/>
          <w:smallCaps w:val="false"/>
        </w:rPr>
      </w:pPr>
      <w:r>
        <w:rPr>
          <w:caps w:val="false"/>
          <w:smallCaps w:val="false"/>
        </w:rPr>
        <w:t> </w:t>
      </w:r>
    </w:p>
    <w:tbl>
      <w:tblPr>
        <w:tblW w:w="955" w:type="dxa"/>
        <w:jc w:val="left"/>
        <w:tblInd w:w="0" w:type="dxa"/>
        <w:tblLayout w:type="fixed"/>
        <w:tblCellMar>
          <w:top w:w="0" w:type="dxa"/>
          <w:left w:w="0" w:type="dxa"/>
          <w:bottom w:w="0" w:type="dxa"/>
          <w:right w:w="0" w:type="dxa"/>
        </w:tblCellMar>
      </w:tblPr>
      <w:tblGrid>
        <w:gridCol w:w="75"/>
        <w:gridCol w:w="320"/>
        <w:gridCol w:w="56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470"/>
        <w:gridCol w:w="60"/>
        <w:gridCol w:w="60"/>
        <w:gridCol w:w="75"/>
      </w:tblGrid>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9" w:name="tm2622891d2_ex5-1.htm"/>
      <w:bookmarkStart w:id="30" w:name="kstm2622891d2_ex51"/>
      <w:bookmarkEnd w:id="29"/>
      <w:bookmarkEnd w:id="30"/>
      <w:r>
        <w:rPr/>
        <w:t> </w:t>
      </w:r>
      <w:r>
        <w:br w:type="page"/>
      </w:r>
    </w:p>
    <w:p>
      <w:pPr>
        <w:pStyle w:val="TextBody"/>
        <w:bidi w:val="0"/>
        <w:jc w:val="right"/>
        <w:rPr>
          <w:b/>
        </w:rPr>
      </w:pPr>
      <w:r>
        <w:rPr>
          <w:b/>
        </w:rPr>
        <w:t>Exhibit 5.1</w:t>
      </w:r>
    </w:p>
    <w:p>
      <w:pPr>
        <w:pStyle w:val="TextBody"/>
        <w:bidi w:val="0"/>
        <w:spacing w:before="0" w:after="283"/>
        <w:jc w:val="left"/>
        <w:rPr/>
      </w:pPr>
      <w:r>
        <w:rPr/>
        <w:t> </w:t>
      </w:r>
    </w:p>
    <w:p>
      <w:pPr>
        <w:pStyle w:val="TextBody"/>
        <w:bidi w:val="0"/>
        <w:spacing w:before="0" w:after="283"/>
        <w:jc w:val="left"/>
        <w:rPr/>
      </w:pPr>
      <w:r>
        <w:rPr/>
        <w:drawing>
          <wp:inline distT="0" distB="0" distL="0" distR="0">
            <wp:extent cx="850265" cy="132715"/>
            <wp:effectExtent l="0" t="0" r="0" b="0"/>
            <wp:docPr id="12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5" descr=""/>
                    <pic:cNvPicPr>
                      <a:picLocks noChangeAspect="1" noChangeArrowheads="1"/>
                    </pic:cNvPicPr>
                  </pic:nvPicPr>
                  <pic:blipFill>
                    <a:blip r:embed="rId36"/>
                    <a:stretch>
                      <a:fillRect/>
                    </a:stretch>
                  </pic:blipFill>
                  <pic:spPr bwMode="auto">
                    <a:xfrm>
                      <a:off x="0" y="0"/>
                      <a:ext cx="850265" cy="132715"/>
                    </a:xfrm>
                    <a:prstGeom prst="rect">
                      <a:avLst/>
                    </a:prstGeom>
                  </pic:spPr>
                </pic:pic>
              </a:graphicData>
            </a:graphic>
          </wp:inline>
        </w:drawing>
      </w: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Client: 99449-00002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Yarrow Bioscience,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470 James Street, Suite 007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Haven, CT 06513</w:t>
      </w:r>
    </w:p>
    <w:p>
      <w:pPr>
        <w:pStyle w:val="TextBody"/>
        <w:bidi w:val="0"/>
        <w:spacing w:before="0" w:after="0"/>
        <w:ind w:left="0" w:right="0" w:hanging="0"/>
        <w:jc w:val="left"/>
        <w:rPr>
          <w:caps w:val="false"/>
          <w:smallCaps w:val="false"/>
        </w:rPr>
      </w:pPr>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365"/>
        <w:gridCol w:w="5495"/>
      </w:tblGrid>
      <w:tr>
        <w:trPr/>
        <w:tc>
          <w:tcPr>
            <w:tcW w:w="365" w:type="dxa"/>
            <w:tcBorders/>
            <w:vAlign w:val="center"/>
          </w:tcPr>
          <w:p>
            <w:pPr>
              <w:pStyle w:val="TableContents"/>
              <w:bidi w:val="0"/>
              <w:spacing w:before="0" w:after="283"/>
              <w:jc w:val="left"/>
              <w:rPr/>
            </w:pPr>
            <w:r>
              <w:rPr/>
              <w:t>Re:</w:t>
            </w:r>
          </w:p>
        </w:tc>
        <w:tc>
          <w:tcPr>
            <w:tcW w:w="5495" w:type="dxa"/>
            <w:tcBorders/>
            <w:vAlign w:val="center"/>
          </w:tcPr>
          <w:p>
            <w:pPr>
              <w:pStyle w:val="TableContents"/>
              <w:bidi w:val="0"/>
              <w:spacing w:before="0" w:after="283"/>
              <w:jc w:val="left"/>
              <w:rPr/>
            </w:pPr>
            <w:r>
              <w:rPr/>
              <w:t>Yarrow Bioscience, Inc.</w:t>
              <w:br/>
              <w:t>Amendment No. 1 to Registration Statement on Form S-3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Yarrow Bioscience,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in connection with the preparation and filing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of an Amendment No. 1 to Registration Statement on Form S-3 (as amended,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relating to the registration under the Securities Act and the proposed issuance and sale from time to time pursuant to Rule 415 under the Securities Act, together or separately and in one or more series (if applicable)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shares of the Company’s common stock, par value $0.0001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shares of the Company’s preferred stock, par value $0.0001 per share (the “</w:t>
      </w:r>
      <w:r>
        <w:rPr>
          <w:rFonts w:ascii="Times New Roman;Times;Serif" w:hAnsi="Times New Roman;Times;Serif"/>
          <w:b w:val="false"/>
          <w:i w:val="false"/>
          <w:caps w:val="false"/>
          <w:smallCaps w:val="false"/>
          <w:sz w:val="20"/>
          <w:u w:val="single"/>
        </w:rPr>
        <w:t>Preferred Stock</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warrants for the purchase of Common Stock or Preferred Stock (the “</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Stock, Preferred Stock and Warrants are collectively referred to herein as the “</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arriving at the opinions expressed below, we have examined originals, or copies certified or otherwise identified to our satisfaction as being true and complete copies of the originals, of such documents, corporate records, certificates of officers of the Company and of public officials and other instruments as we have deemed necessary or advisable to enable us to render these opinions. In our examination, we have assumed the genuineness of all signatures, the legal capacity and competency of all natural persons, the authenticity of all documents submitted to us as originals and the conformity to original documents of all documents submitted to us as copies. As to any facts material to these opinions, we have relied to the extent we deemed appropriate and without independent investigation upon statements and representations of officers and other representatives of the Company and 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Gibson, Dunn &amp; Crutcher LLP</w:t>
      </w:r>
      <w:r>
        <w:rPr>
          <w:rFonts w:ascii="Times New Roman;Times;Serif" w:hAnsi="Times New Roman;Times;Serif"/>
          <w:b w:val="false"/>
          <w:i w:val="false"/>
          <w:caps w:val="false"/>
          <w:smallCaps w:val="false"/>
          <w:sz w:val="20"/>
        </w:rPr>
        <w:br/>
        <w:t>One Embarcadero Center Suite 2600 | San Francisco, CA 94111-3715 | T: 415.393.8200 | F: 415.393.8306 | gibsondunn.com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tbl>
      <w:tblPr>
        <w:tblW w:w="1400" w:type="dxa"/>
        <w:jc w:val="left"/>
        <w:tblInd w:w="0" w:type="dxa"/>
        <w:tblLayout w:type="fixed"/>
        <w:tblCellMar>
          <w:top w:w="0" w:type="dxa"/>
          <w:left w:w="0" w:type="dxa"/>
          <w:bottom w:w="0" w:type="dxa"/>
          <w:right w:w="0" w:type="dxa"/>
        </w:tblCellMar>
      </w:tblPr>
      <w:tblGrid>
        <w:gridCol w:w="1400"/>
      </w:tblGrid>
      <w:tr>
        <w:trPr/>
        <w:tc>
          <w:tcPr>
            <w:tcW w:w="14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August 13, 2026</w:t>
              <w:br/>
              <w:t>Page 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850265" cy="132715"/>
            <wp:effectExtent l="0" t="0" r="0" b="0"/>
            <wp:docPr id="12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6" descr=""/>
                    <pic:cNvPicPr>
                      <a:picLocks noChangeAspect="1" noChangeArrowheads="1"/>
                    </pic:cNvPicPr>
                  </pic:nvPicPr>
                  <pic:blipFill>
                    <a:blip r:embed="rId37"/>
                    <a:stretch>
                      <a:fillRect/>
                    </a:stretch>
                  </pic:blipFill>
                  <pic:spPr bwMode="auto">
                    <a:xfrm>
                      <a:off x="0" y="0"/>
                      <a:ext cx="850265" cy="13271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assumed without independent investigation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at the time any Securities are sold pursuant to the Registration Statement (the “</w:t>
      </w:r>
      <w:r>
        <w:rPr>
          <w:rFonts w:ascii="Times New Roman;Times;Serif" w:hAnsi="Times New Roman;Times;Serif"/>
          <w:b w:val="false"/>
          <w:i w:val="false"/>
          <w:caps w:val="false"/>
          <w:smallCaps w:val="false"/>
          <w:sz w:val="20"/>
          <w:u w:val="single"/>
        </w:rPr>
        <w:t>Relevant Time</w:t>
      </w:r>
      <w:r>
        <w:rPr>
          <w:rFonts w:ascii="Times New Roman;Times;Serif" w:hAnsi="Times New Roman;Times;Serif"/>
          <w:b w:val="false"/>
          <w:i w:val="false"/>
          <w:caps w:val="false"/>
          <w:smallCaps w:val="false"/>
          <w:sz w:val="20"/>
        </w:rPr>
        <w:t>”), the Registration Statement and any supplements and amendments thereto (including post-effective amendments) will be effective and will comply with all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at the Relevant Time, a prospectus supplement will have been prepared and filed with the Commission describing the Securities offered thereby and all related documentation and will comply with all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all Securities will be issued and sold in the manner stated in the Registration Statement and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at the Relevant Time, all corporate or other action required to be taken by the Company to duly authorize each proposed issuance of Securities and any related documentation (including (i) the due reservation of any shares of Common Stock or Preferred Stock for issuance upon exercise, conversion or exchange of any Securities for Common Stock or Preferred Stock (a “</w:t>
      </w:r>
      <w:r>
        <w:rPr>
          <w:rFonts w:ascii="Times New Roman;Times;Serif" w:hAnsi="Times New Roman;Times;Serif"/>
          <w:b w:val="false"/>
          <w:i w:val="false"/>
          <w:caps w:val="false"/>
          <w:smallCaps w:val="false"/>
          <w:sz w:val="20"/>
          <w:u w:val="single"/>
        </w:rPr>
        <w:t>Convertible Security</w:t>
      </w:r>
      <w:r>
        <w:rPr>
          <w:rFonts w:ascii="Times New Roman;Times;Serif" w:hAnsi="Times New Roman;Times;Serif"/>
          <w:b w:val="false"/>
          <w:i w:val="false"/>
          <w:caps w:val="false"/>
          <w:smallCaps w:val="false"/>
          <w:sz w:val="20"/>
        </w:rPr>
        <w:t>”), and (ii) the execution (in the case of certificated Securities), delivery and performance of the Securities and any related documentation referred to in paragraphs 1 through 3 below) shall have been duly completed and shall remain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upon issuance of any Common Stock or Preferred Stock, including upon exercise, conversion or exchange of any Convertible Security, the total number of shares of Common Stock or Preferred Stock issued and outstanding will not exceed the total number of shares of Common Stock or Preferred Stock, as applicable, that the Company is then authorized to issue under its amended and restated certificate of incorporation and other relevant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at the Relevant Time, a definitive purchase, underwriting or similar agreement and any other necessary agreement with respect to any Securities offered or issued will have been duly authorized by all necessary corporate or other action of the Company and duly executed and delivered by the Company and the other parties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tbl>
      <w:tblPr>
        <w:tblW w:w="1400" w:type="dxa"/>
        <w:jc w:val="left"/>
        <w:tblInd w:w="0" w:type="dxa"/>
        <w:tblLayout w:type="fixed"/>
        <w:tblCellMar>
          <w:top w:w="0" w:type="dxa"/>
          <w:left w:w="0" w:type="dxa"/>
          <w:bottom w:w="0" w:type="dxa"/>
          <w:right w:w="0" w:type="dxa"/>
        </w:tblCellMar>
      </w:tblPr>
      <w:tblGrid>
        <w:gridCol w:w="1400"/>
      </w:tblGrid>
      <w:tr>
        <w:trPr/>
        <w:tc>
          <w:tcPr>
            <w:tcW w:w="14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August 13, 2026</w:t>
              <w:br/>
              <w:t>Page 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850265" cy="132715"/>
            <wp:effectExtent l="0" t="0" r="0" b="0"/>
            <wp:docPr id="12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7" descr=""/>
                    <pic:cNvPicPr>
                      <a:picLocks noChangeAspect="1" noChangeArrowheads="1"/>
                    </pic:cNvPicPr>
                  </pic:nvPicPr>
                  <pic:blipFill>
                    <a:blip r:embed="rId38"/>
                    <a:stretch>
                      <a:fillRect/>
                    </a:stretch>
                  </pic:blipFill>
                  <pic:spPr bwMode="auto">
                    <a:xfrm>
                      <a:off x="0" y="0"/>
                      <a:ext cx="850265" cy="13271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and in reliance thereon, and subject to the assumptions, exceptions, qualifications and limitations set forth herein, we are of the opinion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With respect to any shares of Preferred Stock, when: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left"/>
              <w:rPr/>
            </w:pPr>
            <w:r>
              <w:rPr/>
              <w:t>the certificate of designations relating to such Preferred Stock has been duly executed and filed with the Office of the Secretary of State of the State of Delaware,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left"/>
              <w:rPr/>
            </w:pPr>
            <w:r>
              <w:rPr/>
              <w:t>such shares have been issued either (i) in accordance with the applicable definitive purchase, underwriting or similar agreement and for the consideration therefor provided for therein or (ii) upon exercise, conversion or exchange of any Convertible Security and for any additional consideration specified in such Convertible Security or the instrument governing such Convertible Security providing for such conversion or exercise, which consideration (including any consideration paid for such Convertible Security), on a per-share basis, shall in either event not be less than the par value of the Preferred Stock,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3" w:type="dxa"/>
            <w:tcBorders/>
            <w:vAlign w:val="center"/>
          </w:tcPr>
          <w:p>
            <w:pPr>
              <w:pStyle w:val="TableContents"/>
              <w:bidi w:val="0"/>
              <w:spacing w:before="0" w:after="283"/>
              <w:jc w:val="left"/>
              <w:rPr/>
            </w:pPr>
            <w:r>
              <w:rPr/>
              <w:t>any such Convertible Security was previously validly issued and is fully paid and non-assessable (in the case of an equity Security) or is a legal, valid and binding obligation of the Company, enforceable against the Company in accordance with its terms,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shares of Preferred Stock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With respect to shares of Common Stock, when: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left"/>
              <w:rPr/>
            </w:pPr>
            <w:r>
              <w:rPr/>
              <w:t>such shares of Common Stock have been duly executed (in the case of certificated shares) and delivered either (i) in accordance with the applicable definitive purchase, underwriting or similar agreement for the consideration provided for therein, or (ii) upon conversion or exercise of any Convertible Security, in accordance with the terms of such Convertible Security or the instrument governing such Convertible Security providing for such conversion or exercise, and for any additional consideration specified therein, which consideration (including any consideration paid for such Convertible Security), on a per-share basis, shall in either event not be less than the par value of the Common Stock,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left"/>
              <w:rPr/>
            </w:pPr>
            <w:r>
              <w:rPr/>
              <w:t>any such Convertible Security was previously validly issued and is fully paid and non-assessable (in the case of an equity Security) or is a legal, valid and binding obligation of the Company, enforceable against the Company in accordance with its terms,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shares of Common Stock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tbl>
      <w:tblPr>
        <w:tblW w:w="1400" w:type="dxa"/>
        <w:jc w:val="left"/>
        <w:tblInd w:w="0" w:type="dxa"/>
        <w:tblLayout w:type="fixed"/>
        <w:tblCellMar>
          <w:top w:w="0" w:type="dxa"/>
          <w:left w:w="0" w:type="dxa"/>
          <w:bottom w:w="0" w:type="dxa"/>
          <w:right w:w="0" w:type="dxa"/>
        </w:tblCellMar>
      </w:tblPr>
      <w:tblGrid>
        <w:gridCol w:w="1400"/>
      </w:tblGrid>
      <w:tr>
        <w:trPr/>
        <w:tc>
          <w:tcPr>
            <w:tcW w:w="14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August 13, 2026</w:t>
              <w:br/>
              <w:t>Page 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850265" cy="132715"/>
            <wp:effectExtent l="0" t="0" r="0" b="0"/>
            <wp:docPr id="12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8" descr=""/>
                    <pic:cNvPicPr>
                      <a:picLocks noChangeAspect="1" noChangeArrowheads="1"/>
                    </pic:cNvPicPr>
                  </pic:nvPicPr>
                  <pic:blipFill>
                    <a:blip r:embed="rId39"/>
                    <a:stretch>
                      <a:fillRect/>
                    </a:stretch>
                  </pic:blipFill>
                  <pic:spPr bwMode="auto">
                    <a:xfrm>
                      <a:off x="0" y="0"/>
                      <a:ext cx="850265" cy="13271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With respect to any Warrants, when: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left"/>
              <w:rPr/>
            </w:pPr>
            <w:r>
              <w:rPr/>
              <w:t>the warrant agreement relating to such Warrants (the “</w:t>
            </w:r>
            <w:r>
              <w:rPr>
                <w:u w:val="single"/>
              </w:rPr>
              <w:t>Warrant Agreement</w:t>
            </w:r>
            <w:r>
              <w:rPr/>
              <w:t>”), if any, has been duly executed and delivered by the Company and each other party thereto,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left"/>
              <w:rPr/>
            </w:pPr>
            <w:r>
              <w:rPr/>
              <w:t>the terms of the Warrants have been established in accordance with the Warrant Agreement, if any, and the applicable definitive purchase, underwriting or similar agreement,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3" w:type="dxa"/>
            <w:tcBorders/>
            <w:vAlign w:val="center"/>
          </w:tcPr>
          <w:p>
            <w:pPr>
              <w:pStyle w:val="TableContents"/>
              <w:bidi w:val="0"/>
              <w:spacing w:before="0" w:after="283"/>
              <w:jc w:val="left"/>
              <w:rPr/>
            </w:pPr>
            <w:r>
              <w:rPr/>
              <w:t>the Warrants have been duly executed (in the case of certificated Warrants) and delivered in accordance with the Warrant Agreement, if any, and the applicable definitive purchase, underwriting or similar agreement for the consideration provided for therein,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Warrants will be legal, valid and binding obligations of the Company, enforceable against the Company in accordance with their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expressed above are subject to the following exceptions, qualifications, limitations and assumptions: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We render no opinion herein as to matters involving the laws of any jurisdiction other than the State of New York and the United States of America and, for purposes of paragraphs 1 and 2 above, the Delaware General Corporation Law. We are not admitted to practice in the State of Delaware; however, we are generally familiar with the Delaware General Corporation Law as currently in effect and have made such inquiries as we consider necessary to render the opinions contained in paragraphs 1 and 2 above. This opinion is limited to the effect of the current state of the laws of the State of New York, the United States of America and, to the limited extent set forth above, the laws of the State of Delaware and the facts as they currently exist. We assume no obligation to revise or supplement this opinion in the event of future changes in such laws or the interpretations thereof or such facts.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opinions above with respect to the Warrants and the Warrant Agreement (collectively, the “</w:t>
      </w:r>
      <w:r>
        <w:rPr>
          <w:rFonts w:ascii="Times New Roman;Times;Serif" w:hAnsi="Times New Roman;Times;Serif"/>
          <w:b w:val="false"/>
          <w:i w:val="false"/>
          <w:caps w:val="false"/>
          <w:smallCaps w:val="false"/>
          <w:sz w:val="20"/>
          <w:u w:val="single"/>
        </w:rPr>
        <w:t>Documents</w:t>
      </w:r>
      <w:r>
        <w:rPr>
          <w:rFonts w:ascii="Times New Roman;Times;Serif" w:hAnsi="Times New Roman;Times;Serif"/>
          <w:b w:val="false"/>
          <w:i w:val="false"/>
          <w:caps w:val="false"/>
          <w:smallCaps w:val="false"/>
          <w:sz w:val="20"/>
        </w:rPr>
        <w:t>”) are each subject to (i) the effect of any bankruptcy, insolvency, reorganization, moratorium, arrangement or similar laws affecting the rights and remedies of creditors’ generally, including without limitation the effect of statutory or other laws regarding fraudulent transfers or preferential transfers and (ii) general principles of equity, including without limitation concepts of materiality, reasonableness, good faith and fair dealing and the possible unavailability of specific performance, injunctive relief or other equitable remedies regardless of whether enforceability is considered in a proceeding in equity or at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tbl>
      <w:tblPr>
        <w:tblW w:w="1400" w:type="dxa"/>
        <w:jc w:val="left"/>
        <w:tblInd w:w="0" w:type="dxa"/>
        <w:tblLayout w:type="fixed"/>
        <w:tblCellMar>
          <w:top w:w="0" w:type="dxa"/>
          <w:left w:w="0" w:type="dxa"/>
          <w:bottom w:w="0" w:type="dxa"/>
          <w:right w:w="0" w:type="dxa"/>
        </w:tblCellMar>
      </w:tblPr>
      <w:tblGrid>
        <w:gridCol w:w="1400"/>
      </w:tblGrid>
      <w:tr>
        <w:trPr/>
        <w:tc>
          <w:tcPr>
            <w:tcW w:w="14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August 13, 2026</w:t>
              <w:br/>
              <w:t>Page 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850265" cy="132715"/>
            <wp:effectExtent l="0" t="0" r="0" b="0"/>
            <wp:docPr id="12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9" descr=""/>
                    <pic:cNvPicPr>
                      <a:picLocks noChangeAspect="1" noChangeArrowheads="1"/>
                    </pic:cNvPicPr>
                  </pic:nvPicPr>
                  <pic:blipFill>
                    <a:blip r:embed="rId40"/>
                    <a:stretch>
                      <a:fillRect/>
                    </a:stretch>
                  </pic:blipFill>
                  <pic:spPr bwMode="auto">
                    <a:xfrm>
                      <a:off x="0" y="0"/>
                      <a:ext cx="850265" cy="13271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extent relevant to our opinions in paragraphs 3 and not covered by our opinions in paragraphs 1 and 2, we have assumed that any securities underlying, comprising or issuable upon exchange, conversion or exercise of any Warrants are validly issued, fully paid and non-assessable (in the case of an equity security) or a legal, valid and binding obligation of the issuer thereof, enforceable against such issuer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have informed us that you intend to issue Securities from time to time on a delayed or continuous basis, and we understand that prior to issuing any Securities pursuant to the Registration Statement (i) you will advise us in writing of the terms thereof, and (ii) you will afford us an opportunity to (x) review the operative documents pursuant to which such Securities are to be issued or sold (including the applicable offering documents), and (y) file such supplement or amendment to this opinion (if any) as we may reasonably consider necessary or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filing of this opinion as an exhibit to the Registration Statement, and we further consent to the use of our name under the caption “Legal Matters” in the Registration Statement and the prospectus that forms a part thereof. In giving these consents, we do not thereby admit that we are within the category of persons whose consent is required under Section 7 of the Securities Act or the rules and regulations of the Commission promulgated thereunder.</w:t>
      </w:r>
    </w:p>
    <w:p>
      <w:pPr>
        <w:pStyle w:val="TextBody"/>
        <w:bidi w:val="0"/>
        <w:spacing w:before="0" w:after="0"/>
        <w:ind w:left="0" w:right="0" w:hanging="0"/>
        <w:jc w:val="left"/>
        <w:rPr>
          <w:caps w:val="false"/>
          <w:smallCaps w:val="false"/>
        </w:rPr>
      </w:pPr>
      <w:r>
        <w:rPr>
          <w:caps w:val="false"/>
          <w:smallCaps w:val="false"/>
        </w:rPr>
        <w:t> </w:t>
      </w:r>
    </w:p>
    <w:tbl>
      <w:tblPr>
        <w:tblW w:w="2810" w:type="dxa"/>
        <w:jc w:val="left"/>
        <w:tblInd w:w="0" w:type="dxa"/>
        <w:tblLayout w:type="fixed"/>
        <w:tblCellMar>
          <w:top w:w="0" w:type="dxa"/>
          <w:left w:w="0" w:type="dxa"/>
          <w:bottom w:w="0" w:type="dxa"/>
          <w:right w:w="0" w:type="dxa"/>
        </w:tblCellMar>
      </w:tblPr>
      <w:tblGrid>
        <w:gridCol w:w="2735"/>
        <w:gridCol w:w="75"/>
      </w:tblGrid>
      <w:tr>
        <w:trPr/>
        <w:tc>
          <w:tcPr>
            <w:tcW w:w="27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Very truly yours,</w:t>
            </w:r>
          </w:p>
        </w:tc>
        <w:tc>
          <w:tcPr>
            <w:tcW w:w="75"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Gibson, Dunn &amp; Crutcher LLP</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31" w:name="tm2622891d2_ex5-2.htm"/>
      <w:bookmarkStart w:id="32" w:name="kstm2622891d2_ex52"/>
      <w:bookmarkEnd w:id="31"/>
      <w:bookmarkEnd w:id="32"/>
      <w:r>
        <w:rPr/>
        <w:t> </w:t>
      </w:r>
      <w:r>
        <w:br w:type="page"/>
      </w:r>
    </w:p>
    <w:p>
      <w:pPr>
        <w:pStyle w:val="TextBody"/>
        <w:bidi w:val="0"/>
        <w:jc w:val="right"/>
        <w:rPr>
          <w:b/>
        </w:rPr>
      </w:pPr>
      <w:r>
        <w:rPr>
          <w:b/>
        </w:rPr>
        <w:t>Exhibit 5.2</w:t>
      </w:r>
    </w:p>
    <w:p>
      <w:pPr>
        <w:pStyle w:val="TextBody"/>
        <w:bidi w:val="0"/>
        <w:spacing w:before="0" w:after="283"/>
        <w:jc w:val="left"/>
        <w:rPr/>
      </w:pPr>
      <w:r>
        <w:rPr/>
        <w:t> </w:t>
      </w:r>
    </w:p>
    <w:p>
      <w:pPr>
        <w:pStyle w:val="TextBody"/>
        <w:bidi w:val="0"/>
        <w:spacing w:before="0" w:after="283"/>
        <w:jc w:val="left"/>
        <w:rPr/>
      </w:pPr>
      <w:r>
        <w:rPr/>
        <w:drawing>
          <wp:inline distT="0" distB="0" distL="0" distR="0">
            <wp:extent cx="1790700" cy="285750"/>
            <wp:effectExtent l="0" t="0" r="0" b="0"/>
            <wp:docPr id="12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0" descr=""/>
                    <pic:cNvPicPr>
                      <a:picLocks noChangeAspect="1" noChangeArrowheads="1"/>
                    </pic:cNvPicPr>
                  </pic:nvPicPr>
                  <pic:blipFill>
                    <a:blip r:embed="rId41"/>
                    <a:stretch>
                      <a:fillRect/>
                    </a:stretch>
                  </pic:blipFill>
                  <pic:spPr bwMode="auto">
                    <a:xfrm>
                      <a:off x="0" y="0"/>
                      <a:ext cx="1790700" cy="285750"/>
                    </a:xfrm>
                    <a:prstGeom prst="rect">
                      <a:avLst/>
                    </a:prstGeom>
                  </pic:spPr>
                </pic:pic>
              </a:graphicData>
            </a:graphic>
          </wp:inline>
        </w:drawing>
      </w:r>
      <w:r>
        <w:rPr/>
        <w:t> </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Yarrow Bioscience,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470 James Street, Suite 007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Haven, CT 06513</w:t>
      </w:r>
    </w:p>
    <w:p>
      <w:pPr>
        <w:pStyle w:val="TextBody"/>
        <w:bidi w:val="0"/>
        <w:spacing w:before="0" w:after="0"/>
        <w:ind w:left="0" w:right="0" w:hanging="0"/>
        <w:jc w:val="left"/>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365"/>
        <w:gridCol w:w="5480"/>
      </w:tblGrid>
      <w:tr>
        <w:trPr/>
        <w:tc>
          <w:tcPr>
            <w:tcW w:w="365" w:type="dxa"/>
            <w:tcBorders/>
            <w:vAlign w:val="center"/>
          </w:tcPr>
          <w:p>
            <w:pPr>
              <w:pStyle w:val="TableContents"/>
              <w:bidi w:val="0"/>
              <w:spacing w:before="0" w:after="283"/>
              <w:jc w:val="left"/>
              <w:rPr/>
            </w:pPr>
            <w:r>
              <w:rPr/>
              <w:t>Re:</w:t>
            </w:r>
          </w:p>
        </w:tc>
        <w:tc>
          <w:tcPr>
            <w:tcW w:w="5480" w:type="dxa"/>
            <w:tcBorders/>
            <w:vAlign w:val="center"/>
          </w:tcPr>
          <w:p>
            <w:pPr>
              <w:pStyle w:val="TableContents"/>
              <w:bidi w:val="0"/>
              <w:spacing w:before="0" w:after="283"/>
              <w:jc w:val="left"/>
              <w:rPr/>
            </w:pPr>
            <w:r>
              <w:rPr/>
              <w:t>Yarrow Bioscience, Inc.</w:t>
            </w:r>
          </w:p>
        </w:tc>
      </w:tr>
      <w:tr>
        <w:trPr/>
        <w:tc>
          <w:tcPr>
            <w:tcW w:w="365"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left"/>
              <w:rPr>
                <w:i/>
              </w:rPr>
            </w:pPr>
            <w:r>
              <w:rPr>
                <w:i/>
              </w:rPr>
              <w:t>Amendment No. 1 to Registration Statement on Form S-3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examined the Amendment No. 1 to Registration Statement on Form S-3 (as amended,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of Yarrow Bioscience,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filed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pursuant to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and the prospectus supplement thereto filed on August 13, 2026 (the “</w:t>
      </w:r>
      <w:r>
        <w:rPr>
          <w:rFonts w:ascii="Times New Roman;Times;Serif" w:hAnsi="Times New Roman;Times;Serif"/>
          <w:b w:val="false"/>
          <w:i w:val="false"/>
          <w:caps w:val="false"/>
          <w:smallCaps w:val="false"/>
          <w:sz w:val="20"/>
          <w:u w:val="single"/>
        </w:rPr>
        <w:t>Prospectus Supplement</w:t>
      </w:r>
      <w:r>
        <w:rPr>
          <w:rFonts w:ascii="Times New Roman;Times;Serif" w:hAnsi="Times New Roman;Times;Serif"/>
          <w:b w:val="false"/>
          <w:i w:val="false"/>
          <w:caps w:val="false"/>
          <w:smallCaps w:val="false"/>
          <w:sz w:val="20"/>
        </w:rPr>
        <w:t>”), in connection with the offering by the Company of up to $50,000,000 of shares of the Company’s common stock, par value $0.0001 per share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arriving at the opinion expressed below, we have examined originals, or copies certified or otherwise identified to our satisfaction as being true and complete copies of the originals, of such documents, corporate records, certificates of officers of the Company and of public officials and other instruments as we have deemed necessary or advisable to enable us to render the opinions set forth below. In our examination, we have assumed without independent investigation the genuineness of all signatures, the legal capacity and competency of all natural persons, the authenticity of all documents submitted to us as originals and the conformity to original documents of all documents submitted to us as copies. We have further assumed that all offers and sales of the Shares will comply with the minimum offering price and pricing formula set forth in the authorization of the offering and sale of the Shares by the Company’s Board of Directors (or a duly authorized committee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assumptions, exceptions, qualifications and limitations set forth herein, we are of the opinion that the Shares, when issued against payment therefor as set forth in the Registration Statement and the Prospectus Supplement thereto,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filing of this opinion as an exhibit to the Registration Statement, and we further consent to the use of our name under the caption “Legal Matters” in the Registration Statement and the Prospectus Supplement. In giving these consents, we do not thereby admit that we are within the category of persons whose consent is required under Section 7 of the Securities Act or the Rules and Regulations of the Commission.</w:t>
      </w:r>
    </w:p>
    <w:p>
      <w:pPr>
        <w:pStyle w:val="TextBody"/>
        <w:bidi w:val="0"/>
        <w:spacing w:before="0" w:after="0"/>
        <w:ind w:left="0" w:right="0" w:hanging="0"/>
        <w:jc w:val="left"/>
        <w:rPr>
          <w:caps w:val="false"/>
          <w:smallCaps w:val="false"/>
        </w:rPr>
      </w:pPr>
      <w:r>
        <w:rPr>
          <w:caps w:val="false"/>
          <w:smallCaps w:val="false"/>
        </w:rPr>
        <w:t> </w:t>
      </w:r>
    </w:p>
    <w:tbl>
      <w:tblPr>
        <w:tblW w:w="2810" w:type="dxa"/>
        <w:jc w:val="left"/>
        <w:tblInd w:w="0" w:type="dxa"/>
        <w:tblLayout w:type="fixed"/>
        <w:tblCellMar>
          <w:top w:w="0" w:type="dxa"/>
          <w:left w:w="0" w:type="dxa"/>
          <w:bottom w:w="0" w:type="dxa"/>
          <w:right w:w="0" w:type="dxa"/>
        </w:tblCellMar>
      </w:tblPr>
      <w:tblGrid>
        <w:gridCol w:w="2735"/>
        <w:gridCol w:w="75"/>
      </w:tblGrid>
      <w:tr>
        <w:trPr/>
        <w:tc>
          <w:tcPr>
            <w:tcW w:w="2735" w:type="dxa"/>
            <w:tcBorders/>
            <w:vAlign w:val="center"/>
          </w:tcPr>
          <w:p>
            <w:pPr>
              <w:pStyle w:val="TableContents"/>
              <w:bidi w:val="0"/>
              <w:spacing w:before="0" w:after="283"/>
              <w:jc w:val="both"/>
              <w:rPr>
                <w:sz w:val="20"/>
              </w:rPr>
            </w:pPr>
            <w:r>
              <w:rPr>
                <w:sz w:val="20"/>
              </w:rPr>
              <w:t>Very truly yours,</w:t>
            </w:r>
          </w:p>
        </w:tc>
        <w:tc>
          <w:tcPr>
            <w:tcW w:w="75"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Gibson, Dunn &amp; Crutcher LLP</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Gibson, Dunn &amp; Crutcher LLP</w:t>
      </w:r>
      <w:r>
        <w:rPr>
          <w:rFonts w:ascii="Times New Roman;Times;Serif" w:hAnsi="Times New Roman;Times;Serif"/>
          <w:b w:val="false"/>
          <w:i w:val="false"/>
          <w:caps w:val="false"/>
          <w:smallCaps w:val="false"/>
          <w:sz w:val="20"/>
        </w:rPr>
        <w:br/>
        <w:t>One Embarcadero Center Suite 2600 | San Francisco, CA 94111-3715 | T: 415.393.8200 | F: 415.393.8306 | gibsondunn.com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33" w:name="tm2622891d2_ex23-2.htm"/>
      <w:bookmarkStart w:id="34" w:name="kstm2622891d2_ex232"/>
      <w:bookmarkEnd w:id="33"/>
      <w:bookmarkEnd w:id="3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Post-Effective Amendment No. 1 to Registration Statement on Form S-3 (No. 333-277609) of Yarrow Bioscience, Inc. of our report dated February 27, 2026, relating to the consolidated financial statements of VYNE Therapeutics Inc., appearing in the Annual Report on Form 10-K of VYNE Therapeutics Inc.  for the year ended December 31, 2025, filed with the Securities and Exchange Commission. We also consent to the reference to us under the heading “Experts” in such Registration Statement.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Baker Tilly US,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Tewksbury, Massachusetts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35" w:name="tm2622891d2_ex23-3.htm"/>
      <w:bookmarkStart w:id="36" w:name="kstm2622891d2_ex233"/>
      <w:bookmarkEnd w:id="35"/>
      <w:bookmarkEnd w:id="3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23.3</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Post-Effective Amendment No. 1 to the Registration Statement on Form S-3 (No. 333-277609) of Yarrow Bioscience, Inc. (the “Company”) of our report dated March 31, 2026, except for the effects of the exchange ratio discussed in Note 1, as to which the date is August 13, 2026, relating to the financial statements of the Company included in the Company’s Current Report on Form 8-K/A for the period from October 3, 2025 (inception) to December 31, 2025, filed with the Securities and Exchange Commission on August 13, 2026. We also consent to the reference to us under the heading “Experts”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Baker Tilly US,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Irvine, California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Helvetica">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566044/000156604426000002/vyne-20251231.htm" TargetMode="External"/><Relationship Id="rId4" Type="http://schemas.openxmlformats.org/officeDocument/2006/relationships/hyperlink" Target="https://www.sec.gov/ix?doc=/Archives/edgar/data/1566044/000156604426000005/vyne-20260331.htm" TargetMode="External"/><Relationship Id="rId5" Type="http://schemas.openxmlformats.org/officeDocument/2006/relationships/hyperlink" Target="https://www.sec.gov/ix?doc=/Archives/edgar/data/1566044/000156604426000010/vyne-20260630.htm" TargetMode="External"/><Relationship Id="rId6" Type="http://schemas.openxmlformats.org/officeDocument/2006/relationships/hyperlink" Target="https://www.sec.gov/ix?doc=/Archives/edgar/data/1566044/000110465926008642/tm264541d1_8k.htm" TargetMode="External"/><Relationship Id="rId7" Type="http://schemas.openxmlformats.org/officeDocument/2006/relationships/hyperlink" Target="https://www.sec.gov/ix?doc=/Archives/edgar/data/1566044/000110465926026439/tm268461d1_8k.htm" TargetMode="External"/><Relationship Id="rId8" Type="http://schemas.openxmlformats.org/officeDocument/2006/relationships/hyperlink" Target="https://www.sec.gov/ix?doc=/Archives/edgar/data/1566044/000110465926082433/tm2620182d1_8k.htm" TargetMode="External"/><Relationship Id="rId9" Type="http://schemas.openxmlformats.org/officeDocument/2006/relationships/hyperlink" Target="https://www.sec.gov/ix?doc=/Archives/edgar/data/1566044/000110465926084760/tm2620687d2_8k.htm" TargetMode="External"/><Relationship Id="rId10" Type="http://schemas.openxmlformats.org/officeDocument/2006/relationships/hyperlink" Target="https://www.sec.gov/ix?doc=/Archives/edgar/data/1566044/000110465926085235/tm2620874d1_8k.htm" TargetMode="External"/><Relationship Id="rId11" Type="http://schemas.openxmlformats.org/officeDocument/2006/relationships/hyperlink" Target="https://www.sec.gov/ix?doc=/Archives/edgar/data/1566044/000110465926087601/tm2620687d3_8k.htm" TargetMode="External"/><Relationship Id="rId12" Type="http://schemas.openxmlformats.org/officeDocument/2006/relationships/hyperlink" Target="https://www.sec.gov/ix?doc=/Archives/edgar/data/1566044/000110465926088662/tm2621655d2_8k.htm" TargetMode="External"/><Relationship Id="rId13" Type="http://schemas.openxmlformats.org/officeDocument/2006/relationships/hyperlink" Target="https://www.sec.gov/ix?doc=/Archives/edgar/data/1566044/000110465926095925/tm2622598d1_8ka.htm" TargetMode="External"/><Relationship Id="rId14" Type="http://schemas.openxmlformats.org/officeDocument/2006/relationships/hyperlink" Target="https://www.sec.gov/Archives/edgar/data/1566044/000162828023007900/exhibit4112312022.htm" TargetMode="External"/><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hyperlink" Target="https://www.sec.gov/ix?doc=/Archives/edgar/data/1566044/000156604426000002/vyne-20251231.htm" TargetMode="External"/><Relationship Id="rId18" Type="http://schemas.openxmlformats.org/officeDocument/2006/relationships/hyperlink" Target="https://www.sec.gov/ix?doc=/Archives/edgar/data/1566044/000156604426000005/vyne-20260331.htm" TargetMode="External"/><Relationship Id="rId19" Type="http://schemas.openxmlformats.org/officeDocument/2006/relationships/hyperlink" Target="https://www.sec.gov/ix?doc=/Archives/edgar/data/1566044/000156604426000010/vyne-20260630.htm" TargetMode="External"/><Relationship Id="rId20" Type="http://schemas.openxmlformats.org/officeDocument/2006/relationships/hyperlink" Target="https://www.sec.gov/ix?doc=/Archives/edgar/data/1566044/000110465926008642/tm264541d1_8k.htm" TargetMode="External"/><Relationship Id="rId21" Type="http://schemas.openxmlformats.org/officeDocument/2006/relationships/hyperlink" Target="https://www.sec.gov/ix?doc=/Archives/edgar/data/1566044/000110465926026439/tm268461d1_8k.htm" TargetMode="External"/><Relationship Id="rId22" Type="http://schemas.openxmlformats.org/officeDocument/2006/relationships/hyperlink" Target="https://www.sec.gov/ix?doc=/Archives/edgar/data/1566044/000110465926082433/tm2620182d1_8k.htm" TargetMode="External"/><Relationship Id="rId23" Type="http://schemas.openxmlformats.org/officeDocument/2006/relationships/hyperlink" Target="https://www.sec.gov/ix?doc=/Archives/edgar/data/1566044/000110465926084760/tm2620687d2_8k.htm" TargetMode="External"/><Relationship Id="rId24" Type="http://schemas.openxmlformats.org/officeDocument/2006/relationships/hyperlink" Target="https://www.sec.gov/ix?doc=/Archives/edgar/data/1566044/000110465926085235/tm2620874d1_8k.htm" TargetMode="External"/><Relationship Id="rId25" Type="http://schemas.openxmlformats.org/officeDocument/2006/relationships/hyperlink" Target="https://www.sec.gov/ix?doc=/Archives/edgar/data/1566044/000110465926087601/tm2620687d3_8k.htm" TargetMode="External"/><Relationship Id="rId26" Type="http://schemas.openxmlformats.org/officeDocument/2006/relationships/hyperlink" Target="https://www.sec.gov/ix?doc=/Archives/edgar/data/1566044/000110465926088662/tm2621655d2_8k.htm" TargetMode="External"/><Relationship Id="rId27" Type="http://schemas.openxmlformats.org/officeDocument/2006/relationships/hyperlink" Target="https://www.sec.gov/ix?doc=/Archives/edgar/data/1566044/000110465926095925/tm2622598d1_8ka.htm" TargetMode="External"/><Relationship Id="rId28" Type="http://schemas.openxmlformats.org/officeDocument/2006/relationships/hyperlink" Target="https://www.sec.gov/Archives/edgar/data/1566044/000162828023007900/exhibit4112312022.htm" TargetMode="External"/><Relationship Id="rId29" Type="http://schemas.openxmlformats.org/officeDocument/2006/relationships/image" Target="media/image1.jpeg"/><Relationship Id="rId30" Type="http://schemas.openxmlformats.org/officeDocument/2006/relationships/hyperlink" Target="https://www.sec.gov/Archives/edgar/data/1566044/000110465926087601/tm2620687d3_ex3-4.htm" TargetMode="External"/><Relationship Id="rId31" Type="http://schemas.openxmlformats.org/officeDocument/2006/relationships/hyperlink" Target="https://www.sec.gov/Archives/edgar/data/1566044/000162828022029836/vyne-31bcertificateofdesig.htm" TargetMode="External"/><Relationship Id="rId32" Type="http://schemas.openxmlformats.org/officeDocument/2006/relationships/hyperlink" Target="https://www.sec.gov/Archives/edgar/data/1566044/000110465923004316/tm233612d1_ex3-1.htm" TargetMode="External"/><Relationship Id="rId33" Type="http://schemas.openxmlformats.org/officeDocument/2006/relationships/hyperlink" Target="https://www.sec.gov/Archives/edgar/data/1566044/000110465926087601/tm2620687d3_ex3-5.htm" TargetMode="External"/><Relationship Id="rId34" Type="http://schemas.openxmlformats.org/officeDocument/2006/relationships/hyperlink" Target="https://www.sec.gov/Archives/edgar/data/1566044/000110465926087601/tm2620687d3_ex4-1.htm" TargetMode="External"/><Relationship Id="rId35" Type="http://schemas.openxmlformats.org/officeDocument/2006/relationships/hyperlink" Target="https://www.sec.gov/Archives/edgar/data/1566044/000110465924030048/tm247464d2_ex-filingfees.htm" TargetMode="External"/><Relationship Id="rId36" Type="http://schemas.openxmlformats.org/officeDocument/2006/relationships/image" Target="media/image2.jpeg"/><Relationship Id="rId37" Type="http://schemas.openxmlformats.org/officeDocument/2006/relationships/image" Target="media/image2.jpeg"/><Relationship Id="rId38" Type="http://schemas.openxmlformats.org/officeDocument/2006/relationships/image" Target="media/image2.jpeg"/><Relationship Id="rId39" Type="http://schemas.openxmlformats.org/officeDocument/2006/relationships/image" Target="media/image2.jpeg"/><Relationship Id="rId40" Type="http://schemas.openxmlformats.org/officeDocument/2006/relationships/image" Target="media/image2.jpeg"/><Relationship Id="rId41" Type="http://schemas.openxmlformats.org/officeDocument/2006/relationships/image" Target="media/image3.jpeg"/><Relationship Id="rId42" Type="http://schemas.openxmlformats.org/officeDocument/2006/relationships/fontTable" Target="fontTable.xml"/><Relationship Id="rId4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44670</Words>
  <Characters>236495</Characters>
  <CharactersWithSpaces>284053</CharactersWithSpaces>
  <Paragraphs>2270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