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both"/>
        <w:rPr/>
      </w:pPr>
      <w:bookmarkStart w:id="0" w:name="tm2624918d3_8k.htm"/>
      <w:bookmarkStart w:id="1" w:name="kstm2624918d3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1_edei--DocumentType_c2026091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September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E_edei--EntityRegistrantName_c2026"/>
      <w:bookmarkEnd w:id="4"/>
      <w:r>
        <w:rPr>
          <w:rFonts w:ascii="Times New Roman;Times;Serif" w:hAnsi="Times New Roman;Times;Serif"/>
          <w:b/>
          <w:i w:val="false"/>
          <w:caps w:val="false"/>
          <w:smallCaps w:val="false"/>
          <w:sz w:val="48"/>
        </w:rPr>
        <w:t>Yarrow Bioscience,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760" w:type="dxa"/>
        <w:jc w:val="left"/>
        <w:tblInd w:w="0" w:type="dxa"/>
        <w:tblLayout w:type="fixed"/>
        <w:tblCellMar>
          <w:top w:w="0" w:type="dxa"/>
          <w:left w:w="0" w:type="dxa"/>
          <w:bottom w:w="0" w:type="dxa"/>
          <w:right w:w="0" w:type="dxa"/>
        </w:tblCellMar>
      </w:tblPr>
      <w:tblGrid>
        <w:gridCol w:w="2570"/>
        <w:gridCol w:w="60"/>
        <w:gridCol w:w="1295"/>
        <w:gridCol w:w="60"/>
        <w:gridCol w:w="1775"/>
      </w:tblGrid>
      <w:tr>
        <w:trPr/>
        <w:tc>
          <w:tcPr>
            <w:tcW w:w="2570" w:type="dxa"/>
            <w:tcBorders/>
            <w:vAlign w:val="center"/>
          </w:tcPr>
          <w:p>
            <w:pPr>
              <w:pStyle w:val="TableContents"/>
              <w:bidi w:val="0"/>
              <w:spacing w:before="0" w:after="283"/>
              <w:jc w:val="center"/>
              <w:rPr>
                <w:rFonts w:ascii="Times New Roman;Times;Serif" w:hAnsi="Times New Roman;Times;Serif"/>
                <w:b/>
                <w:sz w:val="20"/>
              </w:rPr>
            </w:pPr>
            <w:bookmarkStart w:id="5" w:name="xdx_90D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rFonts w:ascii="Times New Roman;Times;Serif" w:hAnsi="Times New Roman;Times;Serif"/>
                <w:b/>
                <w:sz w:val="20"/>
              </w:rPr>
            </w:pPr>
            <w:bookmarkStart w:id="6" w:name="xdx_904_edei--EntityFileNumber_c20260910"/>
            <w:bookmarkEnd w:id="6"/>
            <w:r>
              <w:rPr>
                <w:rFonts w:ascii="Times New Roman;Times;Serif" w:hAnsi="Times New Roman;Times;Serif"/>
                <w:b/>
                <w:sz w:val="20"/>
              </w:rPr>
              <w:t>001-38356</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rFonts w:ascii="Times New Roman;Times;Serif" w:hAnsi="Times New Roman;Times;Serif"/>
                <w:b/>
                <w:sz w:val="20"/>
              </w:rPr>
            </w:pPr>
            <w:bookmarkStart w:id="7" w:name="xdx_904_edei--EntityTaxIdentificationNum"/>
            <w:bookmarkEnd w:id="7"/>
            <w:r>
              <w:rPr>
                <w:rFonts w:ascii="Times New Roman;Times;Serif" w:hAnsi="Times New Roman;Times;Serif"/>
                <w:b/>
                <w:sz w:val="20"/>
              </w:rPr>
              <w:t>45-3757789</w:t>
            </w:r>
          </w:p>
        </w:tc>
      </w:tr>
      <w:tr>
        <w:trPr/>
        <w:tc>
          <w:tcPr>
            <w:tcW w:w="2570" w:type="dxa"/>
            <w:tcBorders/>
            <w:vAlign w:val="center"/>
          </w:tcPr>
          <w:p>
            <w:pPr>
              <w:pStyle w:val="TableContents"/>
              <w:bidi w:val="0"/>
              <w:spacing w:before="0" w:after="283"/>
              <w:jc w:val="center"/>
              <w:rPr/>
            </w:pPr>
            <w:r>
              <w:rPr/>
              <w:t>(State or Other Jurisdiction</w:t>
              <w:br/>
              <w:t>of Incorporation)</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(Commission</w:t>
              <w:br/>
              <w:t>File Number)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4565"/>
        <w:gridCol w:w="60"/>
        <w:gridCol w:w="1085"/>
      </w:tblGrid>
      <w:tr>
        <w:trPr/>
        <w:tc>
          <w:tcPr>
            <w:tcW w:w="4565" w:type="dxa"/>
            <w:tcBorders/>
            <w:vAlign w:val="center"/>
          </w:tcPr>
          <w:p>
            <w:pPr>
              <w:pStyle w:val="TableContents"/>
              <w:bidi w:val="0"/>
              <w:spacing w:before="0" w:after="283"/>
              <w:jc w:val="center"/>
              <w:rPr>
                <w:b/>
              </w:rPr>
            </w:pPr>
            <w:bookmarkStart w:id="8" w:name="xdx_901_edei--EntityAddressAddressLine1_"/>
            <w:bookmarkEnd w:id="8"/>
            <w:r>
              <w:rPr>
                <w:b/>
              </w:rPr>
              <w:t xml:space="preserve">470 James Street, </w:t>
            </w:r>
            <w:bookmarkStart w:id="9" w:name="xdx_90E_edei--EntityAddressAddressLine2_"/>
            <w:bookmarkEnd w:id="9"/>
            <w:r>
              <w:rPr>
                <w:b/>
              </w:rPr>
              <w:t xml:space="preserve">Suite 007, </w:t>
            </w:r>
            <w:bookmarkStart w:id="10" w:name="xdx_90C_edei--EntityAddressCityOrTown_c2"/>
            <w:bookmarkEnd w:id="10"/>
            <w:r>
              <w:rPr>
                <w:b/>
              </w:rPr>
              <w:t xml:space="preserve">New Haven, </w:t>
            </w:r>
            <w:bookmarkStart w:id="11" w:name="xdx_90A_edei--EntityAddressStateOrProvin"/>
            <w:bookmarkEnd w:id="11"/>
            <w:r>
              <w:rPr>
                <w:b/>
              </w:rPr>
              <w:t>CT</w:t>
            </w:r>
          </w:p>
        </w:tc>
        <w:tc>
          <w:tcPr>
            <w:tcW w:w="6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b/>
              </w:rPr>
            </w:pPr>
            <w:bookmarkStart w:id="12" w:name="xdx_90B_edei--EntityAddressPostalZipCode"/>
            <w:bookmarkEnd w:id="12"/>
            <w:r>
              <w:rPr>
                <w:b/>
              </w:rPr>
              <w:t>06513</w:t>
            </w:r>
          </w:p>
        </w:tc>
      </w:tr>
      <w:tr>
        <w:trPr/>
        <w:tc>
          <w:tcPr>
            <w:tcW w:w="4565" w:type="dxa"/>
            <w:tcBorders/>
            <w:vAlign w:val="center"/>
          </w:tcPr>
          <w:p>
            <w:pPr>
              <w:pStyle w:val="TableContents"/>
              <w:bidi w:val="0"/>
              <w:spacing w:before="0" w:after="283"/>
              <w:jc w:val="center"/>
              <w:rPr/>
            </w:pPr>
            <w:r>
              <w:rPr/>
              <w:t>(Address of Principal Executive Offices)</w:t>
            </w:r>
          </w:p>
        </w:tc>
        <w:tc>
          <w:tcPr>
            <w:tcW w:w="6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pPr>
            <w:r>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bookmarkStart w:id="13" w:name="xdx_909_edei--CityAreaCode_c20260910__20"/>
      <w:bookmarkEnd w:id="13"/>
      <w:r>
        <w:rPr>
          <w:rFonts w:ascii="Times New Roman;Times;Serif" w:hAnsi="Times New Roman;Times;Serif"/>
          <w:b w:val="false"/>
          <w:i w:val="false"/>
          <w:caps w:val="false"/>
          <w:smallCaps w:val="false"/>
          <w:sz w:val="20"/>
        </w:rPr>
        <w:t xml:space="preserve">203) </w:t>
      </w:r>
      <w:bookmarkStart w:id="14" w:name="xdx_908_edei--LocalPhoneNumber_c20260910"/>
      <w:bookmarkEnd w:id="14"/>
      <w:r>
        <w:rPr>
          <w:rFonts w:ascii="Times New Roman;Times;Serif" w:hAnsi="Times New Roman;Times;Serif"/>
          <w:b w:val="false"/>
          <w:i w:val="false"/>
          <w:caps w:val="false"/>
          <w:smallCaps w:val="false"/>
          <w:sz w:val="20"/>
        </w:rPr>
        <w:t>433-7577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pPr>
            <w:bookmarkStart w:id="15" w:name="xdx_904_edei--WrittenCommunications_c202"/>
            <w:bookmarkEnd w:id="15"/>
            <w:r>
              <w:rPr/>
              <w:t>☐</w:t>
            </w:r>
          </w:p>
        </w:tc>
        <w:tc>
          <w:tcPr>
            <w:tcW w:w="9975"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3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283"/>
              <w:jc w:val="left"/>
              <w:rPr/>
            </w:pPr>
            <w:bookmarkStart w:id="16" w:name="xdx_90E_edei--SolicitingMaterial_c202609"/>
            <w:bookmarkEnd w:id="16"/>
            <w:r>
              <w:rPr/>
              <w:t>☐</w:t>
            </w:r>
          </w:p>
        </w:tc>
        <w:tc>
          <w:tcPr>
            <w:tcW w:w="9975" w:type="dxa"/>
            <w:tcBorders/>
            <w:vAlign w:val="center"/>
          </w:tcPr>
          <w:p>
            <w:pPr>
              <w:pStyle w:val="TableContents"/>
              <w:bidi w:val="0"/>
              <w:spacing w:before="0" w:after="283"/>
              <w:jc w:val="left"/>
              <w:rPr/>
            </w:pPr>
            <w:r>
              <w:rPr/>
              <w:t>Soliciting material pursuant to Rule 14a-12 under the Exchange Act (17 CFR 240.14a-12)</w:t>
            </w:r>
          </w:p>
        </w:tc>
      </w:tr>
      <w:tr>
        <w:trPr/>
        <w:tc>
          <w:tcPr>
            <w:tcW w:w="23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283"/>
              <w:jc w:val="left"/>
              <w:rPr/>
            </w:pPr>
            <w:bookmarkStart w:id="17" w:name="xdx_90E_edei--PreCommencementTenderOffer"/>
            <w:bookmarkEnd w:id="17"/>
            <w:r>
              <w:rPr/>
              <w:t>☐</w:t>
            </w:r>
          </w:p>
        </w:tc>
        <w:tc>
          <w:tcPr>
            <w:tcW w:w="9975"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3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283"/>
              <w:jc w:val="left"/>
              <w:rPr/>
            </w:pPr>
            <w:bookmarkStart w:id="18" w:name="xdx_901_edei--PreCommencementIssuerTende"/>
            <w:bookmarkEnd w:id="18"/>
            <w:r>
              <w:rPr/>
              <w:t>☐</w:t>
            </w:r>
          </w:p>
        </w:tc>
        <w:tc>
          <w:tcPr>
            <w:tcW w:w="9975"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6345" w:type="dxa"/>
        <w:jc w:val="left"/>
        <w:tblInd w:w="0" w:type="dxa"/>
        <w:shd w:fill="FFFFFF" w:val="clear"/>
        <w:tblLayout w:type="fixed"/>
        <w:tblCellMar>
          <w:top w:w="0" w:type="dxa"/>
          <w:left w:w="0" w:type="dxa"/>
          <w:bottom w:w="28" w:type="dxa"/>
          <w:right w:w="0" w:type="dxa"/>
        </w:tblCellMar>
      </w:tblPr>
      <w:tblGrid>
        <w:gridCol w:w="2945"/>
        <w:gridCol w:w="60"/>
        <w:gridCol w:w="860"/>
        <w:gridCol w:w="60"/>
        <w:gridCol w:w="2420"/>
      </w:tblGrid>
      <w:tr>
        <w:trPr/>
        <w:tc>
          <w:tcPr>
            <w:tcW w:w="294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br/>
              <w:t>Symbol(s)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0" w:type="dxa"/>
            <w:tcBorders>
              <w:bottom w:val="single" w:sz="8" w:space="0" w:color="000000"/>
            </w:tcBorders>
            <w:shd w:fill="FFFFFF" w:val="clear"/>
            <w:vAlign w:val="center"/>
          </w:tcPr>
          <w:p>
            <w:pPr>
              <w:pStyle w:val="TableContents"/>
              <w:bidi w:val="0"/>
              <w:spacing w:before="0" w:after="283"/>
              <w:jc w:val="center"/>
              <w:rPr>
                <w:b/>
              </w:rPr>
            </w:pPr>
            <w:r>
              <w:rPr>
                <w:b/>
              </w:rPr>
              <w:t>Name of each exchange</w:t>
              <w:br/>
              <w:t>on which registered</w:t>
            </w:r>
          </w:p>
        </w:tc>
      </w:tr>
      <w:tr>
        <w:trPr/>
        <w:tc>
          <w:tcPr>
            <w:tcW w:w="294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19" w:name="xdx_905_edei--Security12bTitle_c20260910"/>
            <w:bookmarkEnd w:id="19"/>
            <w:r>
              <w:rPr>
                <w:rFonts w:ascii="Times New Roman;Times;Serif" w:hAnsi="Times New Roman;Times;Serif"/>
                <w:b/>
                <w:sz w:val="20"/>
              </w:rPr>
              <w:t>Common Stock, $0.0001 par value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20" w:name="xdx_903_edei--TradingSymbol_c20260910__2"/>
            <w:bookmarkEnd w:id="20"/>
            <w:r>
              <w:rPr>
                <w:rFonts w:ascii="Times New Roman;Times;Serif" w:hAnsi="Times New Roman;Times;Serif"/>
                <w:b/>
                <w:sz w:val="20"/>
              </w:rPr>
              <w:t>YARW</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The </w:t>
            </w:r>
            <w:bookmarkStart w:id="21" w:name="xdx_901_edei--SecurityExchangeName_c2026"/>
            <w:bookmarkEnd w:id="21"/>
            <w:r>
              <w:rPr>
                <w:rFonts w:ascii="Times New Roman;Times;Serif" w:hAnsi="Times New Roman;Times;Serif"/>
                <w:b/>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A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830"/>
        <w:gridCol w:w="374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1.01</w:t>
            </w:r>
          </w:p>
        </w:tc>
        <w:tc>
          <w:tcPr>
            <w:tcW w:w="37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10, 2026, Yarrow Bioscience, Inc. (the “Company”) entered into an underwriting agreement (“Underwriting Agreement”) with Jefferies LLC, TD Securities (USA) LLC and Guggenheim Securities, LLC, as the representatives of the underwriters named therein (the “Underwriters”), to issue and sell 5,769,231 shares of the Company’s common stock at a public offering price of $26.00 per share (the “Offering”). In addition, the Company has granted the Underwriters an option (the “Option”) for a period of 30 days to purchase up to an additional 865,384 shares of its common stock at the public offering price, less the underwriting discounts and commissions, which the Underwriters exercised in full on September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from the Offering, including proceeds from the exercise in full of the Option by the Underwriters, are expected to be approximately $161.8 million, after deducting the Underwriters’ discounts and commissions and estimated offering expenses payable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described above were offered pursuant to the Company’s shelf registration statement on Form S-3 (File No. 333-277609), as amended by Post-Effective Amendment No. 1 thereto, which was declared effective by the U.S. Securities and Exchange Commission (the “SEC”) on August 19, 2026. A final prospectus supplement dated September 10, 2026 relating to and describing the terms of the Offering was filed with the SEC on September 11, 2026. The Offering is expected to close on September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Underwriting Agreement contains customary representations, warranties and agreements by the Company, customary conditions to closing and other obligations of the parties. In addition, the Company’s directors and executive officers have entered into lock-up agreements pursuant to which they have agreed, subject to certain exceptions, not to sell or otherwise dispose of shares of the Company’s common stock for a period of 60 days after the date of the final prospectus supplement without the prior written consent of Jefferies LLC and TD Securities (USA) LLC. In the Underwriting Agreement, the Company agreed to indemnify the Underwriters against certain liabilities, including liabilities under the Securities Act of 1933, as amended, or to contribute to payments that the Underwriters may be required to make because of such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Underwriting Agreement is filed as Exhibit 1.1 and is incorporated herein by reference. The foregoing description of the Underwriting Agreement does not purport to be complete and is qualified in its entirety by reference to such exhibit.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opinion of Gibson, Dunn &amp; Crutcher LLP relating to the validity of the issuance and sale of the shares of the common stock in the Offering is filed herewith as Exhibit 5.1.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30"/>
        <w:gridCol w:w="3005"/>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30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Financial Statements and Exhibits.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Exhibits.</w:t>
      </w:r>
    </w:p>
    <w:p>
      <w:pPr>
        <w:pStyle w:val="TextBody"/>
        <w:bidi w:val="0"/>
        <w:spacing w:before="0" w:after="0"/>
        <w:ind w:left="0" w:right="0" w:hanging="0"/>
        <w:jc w:val="center"/>
        <w:rPr>
          <w:rFonts w:ascii="Times New Roman;Times;Serif" w:hAnsi="Times New Roman;Times;Serif"/>
          <w:b/>
          <w:i w:val="false"/>
          <w:caps w:val="false"/>
          <w:smallCaps w:val="false"/>
          <w:sz w:val="20"/>
          <w:u w:val="single"/>
          <w:shd w:fill="FFFFFF" w:val="clear"/>
        </w:rPr>
      </w:pPr>
      <w:r>
        <w:rPr>
          <w:rFonts w:ascii="Times New Roman;Times;Serif" w:hAnsi="Times New Roman;Times;Serif"/>
          <w:b/>
          <w:i w:val="false"/>
          <w:caps w:val="false"/>
          <w:smallCaps w:val="false"/>
          <w:sz w:val="20"/>
          <w:u w:val="single"/>
          <w:shd w:fill="FFFFFF" w:val="clear"/>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5"/>
        <w:gridCol w:w="60"/>
        <w:gridCol w:w="9360"/>
      </w:tblGrid>
      <w:tr>
        <w:trPr/>
        <w:tc>
          <w:tcPr>
            <w:tcW w:w="785" w:type="dxa"/>
            <w:tcBorders/>
            <w:vAlign w:val="center"/>
          </w:tcPr>
          <w:p>
            <w:pPr>
              <w:pStyle w:val="TableContents"/>
              <w:bidi w:val="0"/>
              <w:spacing w:before="0" w:after="283"/>
              <w:jc w:val="left"/>
              <w:rPr>
                <w:b/>
              </w:rPr>
            </w:pPr>
            <w:r>
              <w:rPr>
                <w:b/>
              </w:rPr>
              <w:t>Exhibit</w:t>
              <w:br/>
              <w:t>No.</w:t>
            </w:r>
          </w:p>
        </w:tc>
        <w:tc>
          <w:tcPr>
            <w:tcW w:w="6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785" w:type="dxa"/>
            <w:tcBorders/>
            <w:vAlign w:val="center"/>
          </w:tcPr>
          <w:p>
            <w:pPr>
              <w:pStyle w:val="TableContents"/>
              <w:bidi w:val="0"/>
              <w:spacing w:before="0" w:after="283"/>
              <w:jc w:val="left"/>
              <w:rPr/>
            </w:pPr>
            <w:r>
              <w:rPr/>
              <w:t> </w:t>
            </w:r>
          </w:p>
        </w:tc>
        <w:tc>
          <w:tcPr>
            <w:tcW w:w="9420" w:type="dxa"/>
            <w:gridSpan w:val="2"/>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hyperlink w:anchor="tm2624918d3_ex1-1.htm">
              <w:r>
                <w:rPr>
                  <w:rStyle w:val="InternetLink"/>
                  <w:rFonts w:ascii="Times New Roman;Times;Serif" w:hAnsi="Times New Roman;Times;Serif"/>
                  <w:sz w:val="20"/>
                </w:rPr>
                <w:t>1.1</w:t>
              </w:r>
            </w:hyperlink>
          </w:p>
        </w:tc>
        <w:tc>
          <w:tcPr>
            <w:tcW w:w="6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hyperlink w:anchor="tm2624918d3_ex1-1.htm">
              <w:r>
                <w:rPr>
                  <w:rStyle w:val="InternetLink"/>
                  <w:rFonts w:ascii="Times New Roman;Times;Serif" w:hAnsi="Times New Roman;Times;Serif"/>
                  <w:sz w:val="20"/>
                </w:rPr>
                <w:t>Underwriting Agreement, dated as of September 10, 2026, by and among Yarrow Bioscience, Inc., Jefferies LLC, TD Securities (USA) LLC and Guggenheim Securities, LLC, as representatives of the several underwriters named therein</w:t>
              </w:r>
            </w:hyperlink>
          </w:p>
        </w:tc>
      </w:tr>
      <w:tr>
        <w:trPr/>
        <w:tc>
          <w:tcPr>
            <w:tcW w:w="785" w:type="dxa"/>
            <w:tcBorders/>
            <w:vAlign w:val="center"/>
          </w:tcPr>
          <w:p>
            <w:pPr>
              <w:pStyle w:val="TableContents"/>
              <w:bidi w:val="0"/>
              <w:spacing w:before="0" w:after="283"/>
              <w:jc w:val="left"/>
              <w:rPr/>
            </w:pPr>
            <w:hyperlink w:anchor="tm2624918d3_ex5-1.htm">
              <w:r>
                <w:rPr>
                  <w:rStyle w:val="InternetLink"/>
                  <w:rFonts w:ascii="Times New Roman;Times;Serif" w:hAnsi="Times New Roman;Times;Serif"/>
                  <w:sz w:val="20"/>
                </w:rPr>
                <w:t>5.1</w:t>
              </w:r>
            </w:hyperlink>
          </w:p>
        </w:tc>
        <w:tc>
          <w:tcPr>
            <w:tcW w:w="6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hyperlink w:anchor="tm2624918d3_ex5-1.htm">
              <w:r>
                <w:rPr>
                  <w:rStyle w:val="InternetLink"/>
                  <w:rFonts w:ascii="Times New Roman;Times;Serif" w:hAnsi="Times New Roman;Times;Serif"/>
                  <w:sz w:val="20"/>
                </w:rPr>
                <w:t xml:space="preserve">Opinion of Gibson, Dunn &amp; Crutcher LLP </w:t>
              </w:r>
            </w:hyperlink>
          </w:p>
        </w:tc>
      </w:tr>
      <w:tr>
        <w:trPr/>
        <w:tc>
          <w:tcPr>
            <w:tcW w:w="785" w:type="dxa"/>
            <w:tcBorders/>
            <w:vAlign w:val="center"/>
          </w:tcPr>
          <w:p>
            <w:pPr>
              <w:pStyle w:val="TableContents"/>
              <w:bidi w:val="0"/>
              <w:spacing w:before="0" w:after="283"/>
              <w:jc w:val="left"/>
              <w:rPr/>
            </w:pPr>
            <w:hyperlink w:anchor="tm2624918d3_ex5-1.htm">
              <w:r>
                <w:rPr>
                  <w:rStyle w:val="InternetLink"/>
                  <w:sz w:val="20"/>
                </w:rPr>
                <w:t>23.1</w:t>
              </w:r>
            </w:hyperlink>
          </w:p>
        </w:tc>
        <w:tc>
          <w:tcPr>
            <w:tcW w:w="6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hyperlink w:anchor="tm2624918d3_ex5-1.htm">
              <w:r>
                <w:rPr>
                  <w:rStyle w:val="InternetLink"/>
                  <w:rFonts w:ascii="Times New Roman;Times;Serif" w:hAnsi="Times New Roman;Times;Serif"/>
                  <w:sz w:val="20"/>
                </w:rPr>
                <w:t xml:space="preserve">Consent of Gibson, Dunn &amp; Crutcher LLP (included in Exhibit 5.1) </w:t>
              </w:r>
            </w:hyperlink>
          </w:p>
        </w:tc>
      </w:tr>
      <w:tr>
        <w:trPr/>
        <w:tc>
          <w:tcPr>
            <w:tcW w:w="785"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169" w:type="dxa"/>
        <w:jc w:val="left"/>
        <w:tblInd w:w="0" w:type="dxa"/>
        <w:tblLayout w:type="fixed"/>
        <w:tblCellMar>
          <w:top w:w="0" w:type="dxa"/>
          <w:left w:w="0" w:type="dxa"/>
          <w:bottom w:w="0" w:type="dxa"/>
          <w:right w:w="0" w:type="dxa"/>
        </w:tblCellMar>
      </w:tblPr>
      <w:tblGrid>
        <w:gridCol w:w="2510"/>
        <w:gridCol w:w="374"/>
        <w:gridCol w:w="2285"/>
      </w:tblGrid>
      <w:tr>
        <w:trPr/>
        <w:tc>
          <w:tcPr>
            <w:tcW w:w="2510" w:type="dxa"/>
            <w:tcBorders/>
            <w:vAlign w:val="center"/>
          </w:tcPr>
          <w:p>
            <w:pPr>
              <w:pStyle w:val="TableContents"/>
              <w:bidi w:val="0"/>
              <w:spacing w:before="0" w:after="283"/>
              <w:jc w:val="left"/>
              <w:rPr/>
            </w:pPr>
            <w:r>
              <w:rPr/>
              <w:t> </w:t>
            </w:r>
          </w:p>
        </w:tc>
        <w:tc>
          <w:tcPr>
            <w:tcW w:w="265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YARROW BIOSCIENCE, INC.</w:t>
            </w:r>
          </w:p>
        </w:tc>
      </w:tr>
      <w:tr>
        <w:trPr/>
        <w:tc>
          <w:tcPr>
            <w:tcW w:w="251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Date: September 14, 2026</w:t>
            </w:r>
          </w:p>
        </w:tc>
        <w:tc>
          <w:tcPr>
            <w:tcW w:w="3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Rebecca Frey </w:t>
            </w:r>
          </w:p>
        </w:tc>
      </w:tr>
      <w:tr>
        <w:trPr/>
        <w:tc>
          <w:tcPr>
            <w:tcW w:w="251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Rebecca Frey </w:t>
            </w:r>
          </w:p>
        </w:tc>
      </w:tr>
      <w:tr>
        <w:trPr/>
        <w:tc>
          <w:tcPr>
            <w:tcW w:w="251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24918d3_ex1-1.htm"/>
      <w:bookmarkStart w:id="24" w:name="kstm2624918d3_ex11"/>
      <w:bookmarkEnd w:id="23"/>
      <w:bookmarkEnd w:id="24"/>
      <w:r>
        <w:rPr/>
        <w:t> </w:t>
      </w:r>
      <w:r>
        <w:br w:type="page"/>
      </w:r>
    </w:p>
    <w:p>
      <w:pPr>
        <w:pStyle w:val="TextBody"/>
        <w:bidi w:val="0"/>
        <w:jc w:val="right"/>
        <w:rPr>
          <w:b/>
        </w:rPr>
      </w:pPr>
      <w:r>
        <w:rPr>
          <w:b/>
        </w:rPr>
        <w:t>Exhibit 1.1</w:t>
      </w:r>
    </w:p>
    <w:p>
      <w:pPr>
        <w:pStyle w:val="TextBody"/>
        <w:bidi w:val="0"/>
        <w:spacing w:before="0" w:after="283"/>
        <w:jc w:val="left"/>
        <w:rPr/>
      </w:pPr>
      <w:r>
        <w:rPr/>
        <w:t> </w:t>
      </w:r>
    </w:p>
    <w:p>
      <w:pPr>
        <w:pStyle w:val="TextBody"/>
        <w:bidi w:val="0"/>
        <w:jc w:val="right"/>
        <w:rPr>
          <w:b/>
          <w:i/>
        </w:rPr>
      </w:pPr>
      <w:r>
        <w:rPr>
          <w:b/>
          <w:i/>
        </w:rPr>
        <w:t>Execution Version</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5,769,231 Shares of Common Stock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Yarrow Bioscience,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UNDERWRITING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10,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JEFFERIES LLC</w:t>
        <w:br/>
        <w:t>TD SECURITIES (USA) LLC</w:t>
        <w:br/>
        <w:t>GUGGENHEIM SECURITIES, LLC</w:t>
        <w:br/>
        <w:t>As Representatives of the several Underwriters</w:t>
        <w:br/>
        <w:br/>
        <w:t>c/o JEFFERIES LLC</w:t>
        <w:br/>
        <w:t>520 Madison Avenue</w:t>
        <w:br/>
        <w:t>New York, New York 10022</w:t>
        <w:br/>
        <w:br/>
        <w:t>c/o TD SECURITIES (USA) LLC</w:t>
        <w:br/>
        <w:t>1 Vanderbilt Avenue</w:t>
        <w:br/>
        <w:t>New York, New York 10017</w:t>
        <w:br/>
        <w:br/>
        <w:t>c/o GUGGENHEIM SECURITIES, LLC</w:t>
        <w:br/>
        <w:t>330 Madison Avenue, 8th Floor</w:t>
        <w:br/>
        <w:t>New York, New York 10017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Introductory.</w:t>
      </w:r>
      <w:r>
        <w:rPr>
          <w:rFonts w:ascii="Times New Roman;Times;Serif" w:hAnsi="Times New Roman;Times;Serif"/>
          <w:b w:val="false"/>
          <w:i w:val="false"/>
          <w:caps w:val="false"/>
          <w:smallCaps w:val="false"/>
          <w:sz w:val="20"/>
        </w:rPr>
        <w:t xml:space="preserve"> Yarrow Bioscience,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proposes to issue and sell to the several underwriters named in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Underwriters</w:t>
      </w:r>
      <w:r>
        <w:rPr>
          <w:rFonts w:ascii="Times New Roman;Times;Serif" w:hAnsi="Times New Roman;Times;Serif"/>
          <w:b w:val="false"/>
          <w:i w:val="false"/>
          <w:caps w:val="false"/>
          <w:smallCaps w:val="false"/>
          <w:sz w:val="20"/>
        </w:rPr>
        <w:t>”) an aggregate of 5,769,231 shares of its common stock, par value $0.0001 per share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The 5,769,231 Shares to be sold by the Company are called the “</w:t>
      </w:r>
      <w:r>
        <w:rPr>
          <w:rFonts w:ascii="Times New Roman;Times;Serif" w:hAnsi="Times New Roman;Times;Serif"/>
          <w:b/>
          <w:i w:val="false"/>
          <w:caps w:val="false"/>
          <w:smallCaps w:val="false"/>
          <w:sz w:val="20"/>
        </w:rPr>
        <w:t>Firm Shares</w:t>
      </w:r>
      <w:r>
        <w:rPr>
          <w:rFonts w:ascii="Times New Roman;Times;Serif" w:hAnsi="Times New Roman;Times;Serif"/>
          <w:b w:val="false"/>
          <w:i w:val="false"/>
          <w:caps w:val="false"/>
          <w:smallCaps w:val="false"/>
          <w:sz w:val="20"/>
        </w:rPr>
        <w:t>.” In addition, the Company has granted to the Underwriters an option to purchase up to an additional 865,384 Shares as provided in ‎Section 2 (the “</w:t>
      </w:r>
      <w:r>
        <w:rPr>
          <w:rFonts w:ascii="Times New Roman;Times;Serif" w:hAnsi="Times New Roman;Times;Serif"/>
          <w:b/>
          <w:i w:val="false"/>
          <w:caps w:val="false"/>
          <w:smallCaps w:val="false"/>
          <w:sz w:val="20"/>
        </w:rPr>
        <w:t>Optional Shares</w:t>
      </w:r>
      <w:r>
        <w:rPr>
          <w:rFonts w:ascii="Times New Roman;Times;Serif" w:hAnsi="Times New Roman;Times;Serif"/>
          <w:b w:val="false"/>
          <w:i w:val="false"/>
          <w:caps w:val="false"/>
          <w:smallCaps w:val="false"/>
          <w:sz w:val="20"/>
        </w:rPr>
        <w:t>”). The Firm Shares and, if and to the extent such option is exercised, the Optional Shares are collectively called the “</w:t>
      </w:r>
      <w:r>
        <w:rPr>
          <w:rFonts w:ascii="Times New Roman;Times;Serif" w:hAnsi="Times New Roman;Times;Serif"/>
          <w:b/>
          <w:i w:val="false"/>
          <w:caps w:val="false"/>
          <w:smallCaps w:val="false"/>
          <w:sz w:val="20"/>
        </w:rPr>
        <w:t>Offered Shares</w:t>
      </w:r>
      <w:r>
        <w:rPr>
          <w:rFonts w:ascii="Times New Roman;Times;Serif" w:hAnsi="Times New Roman;Times;Serif"/>
          <w:b w:val="false"/>
          <w:i w:val="false"/>
          <w:caps w:val="false"/>
          <w:smallCaps w:val="false"/>
          <w:sz w:val="20"/>
        </w:rPr>
        <w:t>.” Jefferies LLC (“</w:t>
      </w:r>
      <w:r>
        <w:rPr>
          <w:rFonts w:ascii="Times New Roman;Times;Serif" w:hAnsi="Times New Roman;Times;Serif"/>
          <w:b/>
          <w:i w:val="false"/>
          <w:caps w:val="false"/>
          <w:smallCaps w:val="false"/>
          <w:sz w:val="20"/>
        </w:rPr>
        <w:t>Jefferies</w:t>
      </w:r>
      <w:r>
        <w:rPr>
          <w:rFonts w:ascii="Times New Roman;Times;Serif" w:hAnsi="Times New Roman;Times;Serif"/>
          <w:b w:val="false"/>
          <w:i w:val="false"/>
          <w:caps w:val="false"/>
          <w:smallCaps w:val="false"/>
          <w:sz w:val="20"/>
        </w:rPr>
        <w:t>”), TD Securities (USA) LLC (“</w:t>
      </w:r>
      <w:r>
        <w:rPr>
          <w:rFonts w:ascii="Times New Roman;Times;Serif" w:hAnsi="Times New Roman;Times;Serif"/>
          <w:b/>
          <w:i w:val="false"/>
          <w:caps w:val="false"/>
          <w:smallCaps w:val="false"/>
          <w:sz w:val="20"/>
        </w:rPr>
        <w:t>TD Cowen</w:t>
      </w:r>
      <w:r>
        <w:rPr>
          <w:rFonts w:ascii="Times New Roman;Times;Serif" w:hAnsi="Times New Roman;Times;Serif"/>
          <w:b w:val="false"/>
          <w:i w:val="false"/>
          <w:caps w:val="false"/>
          <w:smallCaps w:val="false"/>
          <w:sz w:val="20"/>
        </w:rPr>
        <w:t>”) and Guggenheim Securities, LLC have agreed to act as representatives of the several Underwriters (in such capacity, the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xml:space="preserve">”) in connection with the offering and sale of the Offered Shares. To the extent there are no additional underwriters listed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the term “Representatives” as used herein shall mean you, as Underwriters, and the term “Underwriters” shall mean either the singular or the plural, as the context requires.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prepared and filed with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a shelf registration statement on Form S-3, File No. 333-277609, including a base prospectus (the “</w:t>
      </w:r>
      <w:r>
        <w:rPr>
          <w:rFonts w:ascii="Times New Roman;Times;Serif" w:hAnsi="Times New Roman;Times;Serif"/>
          <w:b/>
          <w:i w:val="false"/>
          <w:caps w:val="false"/>
          <w:smallCaps w:val="false"/>
          <w:sz w:val="20"/>
        </w:rPr>
        <w:t>Base Prospectus</w:t>
      </w:r>
      <w:r>
        <w:rPr>
          <w:rFonts w:ascii="Times New Roman;Times;Serif" w:hAnsi="Times New Roman;Times;Serif"/>
          <w:b w:val="false"/>
          <w:i w:val="false"/>
          <w:caps w:val="false"/>
          <w:smallCaps w:val="false"/>
          <w:sz w:val="20"/>
        </w:rPr>
        <w:t>”) to be used in connection with the public offering and sale of the Offered Shares. Such registration statement, as amended, including the financial statements, exhibits and schedules thereto, in the form in which it became effective under the Securities Act of 1933, as amended, and the rules and regulations promulgated thereunder (collectively,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including all documents incorporated or deemed to be incorporated by reference therein and any information deemed to be a part thereof at the time of effectiveness pursuant to Rule 430A or 430B under the Securities Act, is called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Any registration statement filed by the Company pursuant to Rule 462(b) under the Securities Act in connection with the offer and sale of the Offered Shares is called the “</w:t>
      </w:r>
      <w:r>
        <w:rPr>
          <w:rFonts w:ascii="Times New Roman;Times;Serif" w:hAnsi="Times New Roman;Times;Serif"/>
          <w:b/>
          <w:i w:val="false"/>
          <w:caps w:val="false"/>
          <w:smallCaps w:val="false"/>
          <w:sz w:val="20"/>
        </w:rPr>
        <w:t>Rule 462(b) Registration Statement</w:t>
      </w:r>
      <w:r>
        <w:rPr>
          <w:rFonts w:ascii="Times New Roman;Times;Serif" w:hAnsi="Times New Roman;Times;Serif"/>
          <w:b w:val="false"/>
          <w:i w:val="false"/>
          <w:caps w:val="false"/>
          <w:smallCaps w:val="false"/>
          <w:sz w:val="20"/>
        </w:rPr>
        <w:t>,” and from and after the date and time of filing of any such Rule 462(b) Registration Statement the term “Registration Statement” shall include the Rule 462(b) Registration Statement. The preliminary prospectus supplement dated September 10, 2026 describing the Offered Shares and the offering thereof (the “</w:t>
      </w:r>
      <w:r>
        <w:rPr>
          <w:rFonts w:ascii="Times New Roman;Times;Serif" w:hAnsi="Times New Roman;Times;Serif"/>
          <w:b/>
          <w:i w:val="false"/>
          <w:caps w:val="false"/>
          <w:smallCaps w:val="false"/>
          <w:sz w:val="20"/>
        </w:rPr>
        <w:t>Preliminary Prospectus Supplement</w:t>
      </w:r>
      <w:r>
        <w:rPr>
          <w:rFonts w:ascii="Times New Roman;Times;Serif" w:hAnsi="Times New Roman;Times;Serif"/>
          <w:b w:val="false"/>
          <w:i w:val="false"/>
          <w:caps w:val="false"/>
          <w:smallCaps w:val="false"/>
          <w:sz w:val="20"/>
        </w:rPr>
        <w:t>”), together with the Base Prospectus, is called the “</w:t>
      </w:r>
      <w:r>
        <w:rPr>
          <w:rFonts w:ascii="Times New Roman;Times;Serif" w:hAnsi="Times New Roman;Times;Serif"/>
          <w:b/>
          <w:i w:val="false"/>
          <w:caps w:val="false"/>
          <w:smallCaps w:val="false"/>
          <w:sz w:val="20"/>
        </w:rPr>
        <w:t>Preliminary Prospectus</w:t>
      </w:r>
      <w:r>
        <w:rPr>
          <w:rFonts w:ascii="Times New Roman;Times;Serif" w:hAnsi="Times New Roman;Times;Serif"/>
          <w:b w:val="false"/>
          <w:i w:val="false"/>
          <w:caps w:val="false"/>
          <w:smallCaps w:val="false"/>
          <w:sz w:val="20"/>
        </w:rPr>
        <w:t>,” and the Preliminary Prospectus and any other prospectus supplement to the Base Prospectus in preliminary form that describes the Offered Shares and the offering thereof and is used prior to the filing of the Prospectus (as defined below), together with the Base Prospectus, is called a “</w:t>
      </w:r>
      <w:r>
        <w:rPr>
          <w:rFonts w:ascii="Times New Roman;Times;Serif" w:hAnsi="Times New Roman;Times;Serif"/>
          <w:b/>
          <w:i w:val="false"/>
          <w:caps w:val="false"/>
          <w:smallCaps w:val="false"/>
          <w:sz w:val="20"/>
        </w:rPr>
        <w:t>preliminary prospectus</w:t>
      </w:r>
      <w:r>
        <w:rPr>
          <w:rFonts w:ascii="Times New Roman;Times;Serif" w:hAnsi="Times New Roman;Times;Serif"/>
          <w:b w:val="false"/>
          <w:i w:val="false"/>
          <w:caps w:val="false"/>
          <w:smallCaps w:val="false"/>
          <w:sz w:val="20"/>
        </w:rPr>
        <w:t>.” As used herein, the term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shall mean the final prospectus supplement to the Base Prospectus that describes the Offered Shares and the offering thereof (the “</w:t>
      </w:r>
      <w:r>
        <w:rPr>
          <w:rFonts w:ascii="Times New Roman;Times;Serif" w:hAnsi="Times New Roman;Times;Serif"/>
          <w:b/>
          <w:i w:val="false"/>
          <w:caps w:val="false"/>
          <w:smallCaps w:val="false"/>
          <w:sz w:val="20"/>
        </w:rPr>
        <w:t>Final Prospectus Supplement</w:t>
      </w:r>
      <w:r>
        <w:rPr>
          <w:rFonts w:ascii="Times New Roman;Times;Serif" w:hAnsi="Times New Roman;Times;Serif"/>
          <w:b w:val="false"/>
          <w:i w:val="false"/>
          <w:caps w:val="false"/>
          <w:smallCaps w:val="false"/>
          <w:sz w:val="20"/>
        </w:rPr>
        <w:t>”), together with the Base Prospectus, in the form first used by the Underwriters to confirm sales of the Offered Shares or in the form first made available to the Underwriters by the Company to meet requests of purchasers pursuant to Rule 173 under the Securities Act. References herein to the Preliminary Prospectus, any preliminary prospectus and the Prospectus shall refer to both the prospectus supplement and the Base Prospectus components of such prospectus. As used herein, “</w:t>
      </w:r>
      <w:r>
        <w:rPr>
          <w:rFonts w:ascii="Times New Roman;Times;Serif" w:hAnsi="Times New Roman;Times;Serif"/>
          <w:b/>
          <w:i w:val="false"/>
          <w:caps w:val="false"/>
          <w:smallCaps w:val="false"/>
          <w:sz w:val="20"/>
        </w:rPr>
        <w:t>Applicable Time</w:t>
      </w:r>
      <w:r>
        <w:rPr>
          <w:rFonts w:ascii="Times New Roman;Times;Serif" w:hAnsi="Times New Roman;Times;Serif"/>
          <w:b w:val="false"/>
          <w:i w:val="false"/>
          <w:caps w:val="false"/>
          <w:smallCaps w:val="false"/>
          <w:sz w:val="20"/>
        </w:rPr>
        <w:t>” is 7:00 p.m. (New York City time) on September 10, 2026. As used herein, “</w:t>
      </w:r>
      <w:r>
        <w:rPr>
          <w:rFonts w:ascii="Times New Roman;Times;Serif" w:hAnsi="Times New Roman;Times;Serif"/>
          <w:b/>
          <w:i w:val="false"/>
          <w:caps w:val="false"/>
          <w:smallCaps w:val="false"/>
          <w:sz w:val="20"/>
        </w:rPr>
        <w:t>free writing prospectus</w:t>
      </w:r>
      <w:r>
        <w:rPr>
          <w:rFonts w:ascii="Times New Roman;Times;Serif" w:hAnsi="Times New Roman;Times;Serif"/>
          <w:b w:val="false"/>
          <w:i w:val="false"/>
          <w:caps w:val="false"/>
          <w:smallCaps w:val="false"/>
          <w:sz w:val="20"/>
        </w:rPr>
        <w:t>” has the meaning set forth in Rule 405 under the Securities Act, and “</w:t>
      </w:r>
      <w:r>
        <w:rPr>
          <w:rFonts w:ascii="Times New Roman;Times;Serif" w:hAnsi="Times New Roman;Times;Serif"/>
          <w:b/>
          <w:i w:val="false"/>
          <w:caps w:val="false"/>
          <w:smallCaps w:val="false"/>
          <w:sz w:val="20"/>
        </w:rPr>
        <w:t>Time of Sale Prospectus</w:t>
      </w:r>
      <w:r>
        <w:rPr>
          <w:rFonts w:ascii="Times New Roman;Times;Serif" w:hAnsi="Times New Roman;Times;Serif"/>
          <w:b w:val="false"/>
          <w:i w:val="false"/>
          <w:caps w:val="false"/>
          <w:smallCaps w:val="false"/>
          <w:sz w:val="20"/>
        </w:rPr>
        <w:t xml:space="preserve">” means the Preliminary Prospectus, as amended or supplemented immediately prior to the Applicable Time, together with the free writing prospectuses, if any, identified in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hereto. As used herein, “</w:t>
      </w:r>
      <w:r>
        <w:rPr>
          <w:rFonts w:ascii="Times New Roman;Times;Serif" w:hAnsi="Times New Roman;Times;Serif"/>
          <w:b/>
          <w:i w:val="false"/>
          <w:caps w:val="false"/>
          <w:smallCaps w:val="false"/>
          <w:sz w:val="20"/>
        </w:rPr>
        <w:t>Road Show”</w:t>
      </w:r>
      <w:r>
        <w:rPr>
          <w:rFonts w:ascii="Times New Roman;Times;Serif" w:hAnsi="Times New Roman;Times;Serif"/>
          <w:b w:val="false"/>
          <w:i w:val="false"/>
          <w:caps w:val="false"/>
          <w:smallCaps w:val="false"/>
          <w:sz w:val="20"/>
        </w:rPr>
        <w:t xml:space="preserve"> means a “road show” (as defined in Rule 433 under the Securities Act) relating to the offering of the Offered Shares contemplated hereby that is a “written communication” (as defined in Rule 405 under the Securities Act) and “</w:t>
      </w:r>
      <w:r>
        <w:rPr>
          <w:rFonts w:ascii="Times New Roman;Times;Serif" w:hAnsi="Times New Roman;Times;Serif"/>
          <w:b/>
          <w:i w:val="false"/>
          <w:caps w:val="false"/>
          <w:smallCaps w:val="false"/>
          <w:sz w:val="20"/>
        </w:rPr>
        <w:t>Marketing Materials</w:t>
      </w:r>
      <w:r>
        <w:rPr>
          <w:rFonts w:ascii="Times New Roman;Times;Serif" w:hAnsi="Times New Roman;Times;Serif"/>
          <w:b w:val="false"/>
          <w:i w:val="false"/>
          <w:caps w:val="false"/>
          <w:smallCaps w:val="false"/>
          <w:sz w:val="20"/>
        </w:rPr>
        <w:t>” means any materials or information provided to investors by, or with the approval of, the Company in connection with the marketing of the offering of the Offered Shares, including any roadshow or investor presentations made to investors by the Company (whether in person or electronically).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Agreement to the Registration Statement, the Preliminary Prospectus, any preliminary prospectus, the Base Prospectus and the Prospectus shall include the documents incorporated or deemed to be incorporated by reference therein. All references in this Agreement to financial statements and schedules and other information which are “contained,” “included” or “stated” in, or “part of” the Registration Statement, the Rule 462(b) Registration Statement, the Preliminary Prospectus, any preliminary prospectus, the Base Prospectus, the Time of Sale Prospectus or the Prospectus, and all other references of like import, shall be deemed to mean and include all such financial statements and schedules and other information which is or is deemed to be incorporated by reference in the Registration Statement, the Rule 462(b) Registration Statement, the Preliminary Prospectus, any preliminary prospectus, the Base Prospectus, the Time of Sale Prospectus or the Prospectus, as the case may be. All references in this Agreement to amendments or supplements to the Registration Statement, the Preliminary Prospectus, any preliminary prospectus, the Base Prospectus, the Time of Sale Prospectus or the Prospectus shall be deemed to mean and include the filing of any document under the Securities Exchange Act of 1934, as amended, and the rules and regulations promulgated thereunder (collectively,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that is or is deemed to be incorporated by reference in the Registration Statement, the Preliminary Prospectus, any preliminary prospectus, the Base Prospectus, or the Prospectus, as the case may be. All references in this Agreement to (i) the Registration Statement, the Preliminary Prospectus, any preliminary prospectus, the Base Prospectus or the Prospectus, any amendments or supplements to any of the foregoing, or any free writing prospectus, shall include any copy thereof filed with the Commission pursuant to its Electronic Data Gathering, Analysis and Retrieval System (“</w:t>
      </w:r>
      <w:r>
        <w:rPr>
          <w:rFonts w:ascii="Times New Roman;Times;Serif" w:hAnsi="Times New Roman;Times;Serif"/>
          <w:b/>
          <w:i w:val="false"/>
          <w:caps w:val="false"/>
          <w:smallCaps w:val="false"/>
          <w:sz w:val="20"/>
        </w:rPr>
        <w:t>EDGAR</w:t>
      </w:r>
      <w:r>
        <w:rPr>
          <w:rFonts w:ascii="Times New Roman;Times;Serif" w:hAnsi="Times New Roman;Times;Serif"/>
          <w:b w:val="false"/>
          <w:i w:val="false"/>
          <w:caps w:val="false"/>
          <w:smallCaps w:val="false"/>
          <w:sz w:val="20"/>
        </w:rPr>
        <w:t>”) and (ii) the Prospectus shall be deemed to include any “electronic Prospectus” provided for use in connection with the offering of the Offered Shares as contemplated by Section 3(n) of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that the Company has only one subsidiary, then all references herein to “subsidiaries” of the Company shall be deemed to refer to such single subsidiary, </w:t>
      </w:r>
      <w:r>
        <w:rPr>
          <w:rFonts w:ascii="Times New Roman;Times;Serif" w:hAnsi="Times New Roman;Times;Serif"/>
          <w:b w:val="false"/>
          <w:i w:val="false"/>
          <w:caps w:val="false"/>
          <w:smallCaps w:val="false"/>
          <w:sz w:val="20"/>
          <w:u w:val="single"/>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confirms its agreements with the Underwriters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Representations and Warranties.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represents, warrants and covenants to each Underwriter, as of the date of this Agreement, as of the First Closing Date (as hereinafter defined) and as of each Option Closing Date (as hereinafter defined), if any,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i/>
          <w:caps w:val="false"/>
          <w:smallCaps w:val="false"/>
          <w:sz w:val="20"/>
        </w:rPr>
        <w:t>Compliance with Registration Requirements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Registration Statement has become effective under the Securities Act. The Company has complied, to the Commission’s satisfaction, with all requests of the Commission for additional or supplemental information, if any. No stop order suspending the effectiveness of the Registration Statement is in effect and no proceedings for such purpose have been instituted or are pending or, to the knowledge of the Company, are contemplated or threatened by the Commission. At the time the Company’s Annual Report on Form 10-K for the year ended December 31, 2025 (the “</w:t>
      </w:r>
      <w:r>
        <w:rPr>
          <w:rFonts w:ascii="Times New Roman;Times;Serif" w:hAnsi="Times New Roman;Times;Serif"/>
          <w:b/>
          <w:i w:val="false"/>
          <w:caps w:val="false"/>
          <w:smallCaps w:val="false"/>
          <w:sz w:val="20"/>
        </w:rPr>
        <w:t>Annual Report</w:t>
      </w:r>
      <w:r>
        <w:rPr>
          <w:rFonts w:ascii="Times New Roman;Times;Serif" w:hAnsi="Times New Roman;Times;Serif"/>
          <w:b w:val="false"/>
          <w:i w:val="false"/>
          <w:caps w:val="false"/>
          <w:smallCaps w:val="false"/>
          <w:sz w:val="20"/>
        </w:rPr>
        <w:t>”) was filed with the Commission, or, if later, at the time the Registration Statement was originally filed with the Commission, the Company met the then-applicable requirements for use of Form S-3 under the Securities Act. The documents incorporated or deemed to be incorporated by reference in the Registration Statement, the Time of Sale Prospectus and the Prospectus, at the time they were or hereafter are filed with the Commission, or became effective under the Exchange Act, as the case may be, complied and will comply in all material respects with the requirements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i/>
          <w:caps w:val="false"/>
          <w:smallCaps w:val="false"/>
          <w:sz w:val="20"/>
        </w:rPr>
        <w:t>Disclosure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preliminary prospectus and the Prospectus when filed complied in all material respects with the Securities Act and, if filed by electronic transmission pursuant to EDGAR, was identical (except as may be permitted by Regulation S-T under the Securities Act) to the copy thereof delivered to the Underwriters for use in connection with the offer and sale of the Offered Shares. Each of the Registration Statement and any post-effective amendment thereto, at the time it became or becomes effective,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Applicable Time, the Time of Sale Prospectus did not, and at the First Closing Date (as defined in ‎Section 2) and at each applicable Option Closing Date (as defined in Section 2), will not, contain any untrue statement of a material fact or omit to state a material fact necessary to make the statements therein, in the light of the circumstances under which they were made, not misleading. The Prospectus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as of its date, did not, and at the First Closing Date and at each applicable Option Closing Date, as then amended or supplemented by the Company,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Prospectus or the Time of Sale Prospectus, or any amendments or supplements thereto, made in reliance upon and in conformity with written information relating to any Underwriter furnished to the Company in writing by the Representatives expressly for use therein, it being understood and agreed that the only such information consists of the information described in ‎Section 9(b) below. There are no contracts or other documents required to be described in the Time of Sale Prospectus or the Prospectus or to be filed as an exhibit to the Registration Statement which have not been described or filed as required.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i/>
          <w:caps w:val="false"/>
          <w:smallCaps w:val="false"/>
          <w:sz w:val="20"/>
        </w:rPr>
        <w:t>Free Writing Prospectuses; Road Show</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As of the determination date referenced in Rule 164(h) under the Securities Act, the Company was not, is not or will not be (as applicable) an “ineligible issuer” in connection with the offering of the Offered Shares pursuant to Rules 164, 405 and 433 under the Securities Act. Each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retention and legending, as applicable, and each such free writing prospectus, as of its issue date and at all subsequent times through the completion of the public offer and sale of the Offered Shares did not, does not and will not include any information that conflicted, conflicts or will conflict with the information contained in the Registration Statement, the Prospectus or any preliminary prospectus unless such information has been superseded or modified as of such time. The representations and warranties set forth in the immediately preceding sentence do not apply to statements made in reliance upon and in conformity with written information relating to any Underwriter furnished to the Company in writing by the Representatives expressly for use therein, it being understood and agreed that the only such information consists of the information described in ‎Section 9(b) below. Except for the free writing prospectuses, if any, identified in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and electronic road shows, if any, furnished to you before first use, the Company has not prepared, used or referred to, and will not, without your prior written consent (which consent shall not be unreasonably withheld, conditioned or delayed), prepare, use or refer to, any free writing prospectus. Each Road Show, when considered together with the Time of Sale Prospectus, did not, as of the Applicable Time, contain any untrue statement of a material fact or omit to state a material fact necessary to make the statements therein, in the light of the circumstances under which they were made, not misleading.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i/>
          <w:caps w:val="false"/>
          <w:smallCaps w:val="false"/>
          <w:sz w:val="20"/>
        </w:rPr>
        <w:t>Distribution of Offering Material By the Company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Prior to the later of (i) the expiration or termination of the option granted to the several Underwriters in ‎Section 2 and (ii) the completion of the Underwriters’ distribution of the Offered Shares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has not distributed and will not distribute any offering material in connection with the offering and sale of the Offered Shares other than the Registration Statement, the Time of Sale Prospectus, the Prospectus or any free writing prospectus reviewed and consented to by the Representatives, the free writing prospectuses, if any, identified on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i/>
          <w:caps w:val="false"/>
          <w:smallCaps w:val="false"/>
          <w:sz w:val="20"/>
        </w:rPr>
        <w:t>The Underwriting Agreement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Agreement has been duly authorized, executed and delivered by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i/>
          <w:caps w:val="false"/>
          <w:smallCaps w:val="false"/>
          <w:sz w:val="20"/>
        </w:rPr>
        <w:t>Authorization of the Offered Shares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offering and sale of the Offered Shares, the execution, delivery and performance of this Agreement by the Company, the consummation of the transactions contemplated hereby, and the application of the proceeds from the sale of the Offered Shares as described under “Use of Proceeds” in the Time of Sale Prospectus and the Prospectus will not (i) conflict with or result in a breach or violation of any of the terms or provisions of, impose any lien, charge or encumbrance upon any property or assets of the Company and the Subsidiaries, or constitute a default under, any indenture, mortgage, deed of trust, loan agreement, license, lease or other agreement or instrument to which the Company or any of its subsidiaries (each a “</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Subsidiaries</w:t>
      </w:r>
      <w:r>
        <w:rPr>
          <w:rFonts w:ascii="Times New Roman;Times;Serif" w:hAnsi="Times New Roman;Times;Serif"/>
          <w:b w:val="false"/>
          <w:i w:val="false"/>
          <w:caps w:val="false"/>
          <w:smallCaps w:val="false"/>
          <w:sz w:val="20"/>
        </w:rPr>
        <w:t>”) is a party or by which the Company or any Subsidiary is bound or to which any of the property or assets of the Company or any Subsidiary is subject; (ii) result in any violation of the provisions of the articles of association, charter or by-laws (or similar organizational documents) of the Company or of any Subsidiary; or (iii) result in any violation of any statute or any judgment, order, decree, rule or regulation of any Governmental Authority having jurisdiction over the Company or any Subsidiary or any of their properties or assets, except, for purposes of clauses (i) and (iii) above, any such conflict, breach, violation, default, lien, charge or encumbrance that would not, individually or in the aggregate, reasonably be expected to have a Material Adverse Effect (as defined below). As used herein, “</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means (i) any federal, provincial, state, local, municipal, national or international government or governmental authority, regulatory or administrative agency, governmental commission, department, board, bureau, agency or instrumentality, court, tribunal, arbitrator or arbitral body (public or private); (ii) any self-regulatory organization; or (iii) any political subdivision of any of the foregoing. The Offered Shares, when issued and delivered pursuant to the terms approved by the board of directors of the Company or a duly authorized committee thereof, or a duly authorized executive committee, against payment therefor as provided herein, will be validly issued, fully paid and non-assessable, will conform in all material respects to the description thereof contained in the Prospectus, will be issued in compliance with U.S. federal and state securities laws, and will be free of statutory and contractual preemptive rights, rights of first refusal and any other similar rights of any shareholder, and the issuance and sale of the Offered Shares is not subject to any preemptive rights, rights of first refusal or other similar rights to subscribe for or purchase the Offered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w:t>
      </w:r>
      <w:r>
        <w:rPr>
          <w:rFonts w:ascii="Times New Roman;Times;Serif" w:hAnsi="Times New Roman;Times;Serif"/>
          <w:b/>
          <w:i/>
          <w:caps w:val="false"/>
          <w:smallCaps w:val="false"/>
          <w:sz w:val="20"/>
        </w:rPr>
        <w:t>Approval of Listing of Offered Shares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Offered Shares to be sold by the Company have been approved for listing, subject to official notice of issuance and evidence of satisfactory distribution, on Nasdaq.</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w:t>
      </w:r>
      <w:r>
        <w:rPr>
          <w:rFonts w:ascii="Times New Roman;Times;Serif" w:hAnsi="Times New Roman;Times;Serif"/>
          <w:b/>
          <w:i/>
          <w:caps w:val="false"/>
          <w:smallCaps w:val="false"/>
          <w:sz w:val="20"/>
        </w:rPr>
        <w:t>No Applicable Registration or Other Similar Rights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Except as disclosed in the Registration Statement, the Time of Sale Prospectus and the Prospectus, there are no contracts, agreements or understandings between the Company and any person granting such person the right to require the Company to file a registration statement under the Securities Act with respect to any securities of the Company owned or to be owned by such person. The Company is not required to include any securities with the securities being offered and sold pursuant to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i/>
          <w:caps w:val="false"/>
          <w:smallCaps w:val="false"/>
          <w:sz w:val="20"/>
        </w:rPr>
        <w:t>No Material Adverse Change.</w:t>
      </w:r>
      <w:r>
        <w:rPr>
          <w:rFonts w:ascii="Times New Roman;Times;Serif" w:hAnsi="Times New Roman;Times;Serif"/>
          <w:b w:val="false"/>
          <w:i w:val="false"/>
          <w:caps w:val="false"/>
          <w:smallCaps w:val="false"/>
          <w:sz w:val="20"/>
        </w:rPr>
        <w:t xml:space="preserve"> Except as otherwise disclosed in the Registration Statement, the Time of Sale Prospectus and the Prospectus, subsequent to the respective dates as of which information is given in the Registration Statement, the Time of Sale Prospectus and the Prospectus: (i) there has been no material adverse change, or any development that could reasonably be expected to result in a material adverse change, in (A) the condition, financial or otherwise, or in the earnings, business, properties, operations, operating results, assets, liabilities or prospects, whether or not arising from transactions in the ordinary course of business, of the Company and its subsidiaries, considered as one entity or (B) the ability of the Company to consummate the transactions contemplated by this Agreement or perform its obligations thereunder (any such change being referred to herein as a “</w:t>
      </w:r>
      <w:r>
        <w:rPr>
          <w:rFonts w:ascii="Times New Roman;Times;Serif" w:hAnsi="Times New Roman;Times;Serif"/>
          <w:b/>
          <w:i w:val="false"/>
          <w:caps w:val="false"/>
          <w:smallCaps w:val="false"/>
          <w:sz w:val="20"/>
        </w:rPr>
        <w:t>Material Adverse Change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(ii) the Company and its subsidiaries, considered as one entity, have not incurred any material liability or obligation, indirect, direct or contingent, including without limitation any losses or interference with their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and have not entered into any material transactions not in the ordinary course of business; and (iii) there has not been any material decrease in the capital stock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capital stock, or any repurchase or redemption by the Company or any of its subsidiaries of any class of capital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          </w:t>
      </w:r>
      <w:r>
        <w:rPr>
          <w:rFonts w:ascii="Times New Roman;Times;Serif" w:hAnsi="Times New Roman;Times;Serif"/>
          <w:b/>
          <w:i/>
          <w:caps w:val="false"/>
          <w:smallCaps w:val="false"/>
          <w:sz w:val="20"/>
        </w:rPr>
        <w:t>Independent Accountants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Baker Tilly US, LLP (“</w:t>
      </w:r>
      <w:r>
        <w:rPr>
          <w:rFonts w:ascii="Times New Roman;Times;Serif" w:hAnsi="Times New Roman;Times;Serif"/>
          <w:b/>
          <w:i w:val="false"/>
          <w:caps w:val="false"/>
          <w:smallCaps w:val="false"/>
          <w:sz w:val="20"/>
          <w:u w:val="single"/>
        </w:rPr>
        <w:t>Baker Tilly</w:t>
      </w:r>
      <w:r>
        <w:rPr>
          <w:rFonts w:ascii="Times New Roman;Times;Serif" w:hAnsi="Times New Roman;Times;Serif"/>
          <w:b w:val="false"/>
          <w:i w:val="false"/>
          <w:caps w:val="false"/>
          <w:smallCaps w:val="false"/>
          <w:sz w:val="20"/>
        </w:rPr>
        <w:t>”), the Company’s auditor for the fiscal year ended December 31, 2025, are independent public accountants as required by the Securities Act and Securities Act regulations. To the Company’s knowledge, Baker Tilly is not in violation of the auditor independence requirements of the Sarbanes-Oxley Act with respect to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         </w:t>
      </w:r>
      <w:r>
        <w:rPr>
          <w:rFonts w:ascii="Times New Roman;Times;Serif" w:hAnsi="Times New Roman;Times;Serif"/>
          <w:b/>
          <w:i/>
          <w:caps w:val="false"/>
          <w:smallCaps w:val="false"/>
          <w:sz w:val="20"/>
        </w:rPr>
        <w:t>Financial Statements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historical financial statements (including the related notes and supporting schedules) included or incorporated by reference in the Registration Statement, the Time of Sale Prospectus and the Prospectus, comply as to form in all material respects with the requirements of Regulation S-X under the Securities Act and present fairly in all material respects the financial condition, results of operations and cash flows of the entities purported to be shown thereby at the dates and for the periods indicated and have been prepared in conformity in all material respects with accounting principles generally accepted in the United States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applied on a consistent basis throughout the periods involved. The pro forma financial statements (including the notes thereto) or other pro forma financial information included in the Prospectus (i) comply as to form in all material respects with the applicable requirements of Regulation S-X, (ii) have been prepared in accordance with the Commission’s applicable rules and guidelines with respect to pro forma financial statements and (iii) have been properly computed and presented on the bases described therein; and the assumptions used in preparing the pro forma financial statements or other pro forma financial information included in the Prospectus provide a reasonable basis for presenting the significant effects directly attributable to the transactions or events described therein, the related pro forma adjustments give appropriate effect to those assumptions, and the pro forma columns therein reflect the proper application of those adjustments to the corresponding historical financial statement amounts. The interactive data in eXtensible Business Reporting Language included or incorporated by reference in the Registration Statement, the Time of Sale Prospectus and the Prospectus fairly present the information called for in all material respects and are prepared in accordance with the Commission’s rules and guidelines applicable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          </w:t>
      </w:r>
      <w:r>
        <w:rPr>
          <w:rFonts w:ascii="Times New Roman;Times;Serif" w:hAnsi="Times New Roman;Times;Serif"/>
          <w:b/>
          <w:i/>
          <w:caps w:val="false"/>
          <w:smallCaps w:val="false"/>
          <w:sz w:val="20"/>
        </w:rPr>
        <w:t>No Off-Balance Sheet Transactions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There are no transactions, arrangements and other relationships between and/or among the Company, and/or any of its affiliates and any unconsolidated entity, including, but not limited to, any structural finance, special purpose or limited purpose entity (each, an “</w:t>
      </w:r>
      <w:r>
        <w:rPr>
          <w:rFonts w:ascii="Times New Roman;Times;Serif" w:hAnsi="Times New Roman;Times;Serif"/>
          <w:b/>
          <w:i w:val="false"/>
          <w:caps w:val="false"/>
          <w:smallCaps w:val="false"/>
          <w:sz w:val="20"/>
          <w:u w:val="single"/>
        </w:rPr>
        <w:t>Off-Balance Sheet Transaction</w:t>
      </w:r>
      <w:r>
        <w:rPr>
          <w:rFonts w:ascii="Times New Roman;Times;Serif" w:hAnsi="Times New Roman;Times;Serif"/>
          <w:b w:val="false"/>
          <w:i w:val="false"/>
          <w:caps w:val="false"/>
          <w:smallCaps w:val="false"/>
          <w:sz w:val="20"/>
        </w:rPr>
        <w:t>”) that could reasonably be expected to affect materially the Company’s liquidity or the availability of or requirements for its capital resources, including those Off-Balance Sheet Transactions described in the Commission’s Statement about Management’s Discussion and Analysis of Financial Conditions and Results of Operations (Release Nos. 33-8056; 34-45321; FR-61), required to be described in the Prospectus which have not been described as required.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        </w:t>
      </w:r>
      <w:r>
        <w:rPr>
          <w:rFonts w:ascii="Times New Roman;Times;Serif" w:hAnsi="Times New Roman;Times;Serif"/>
          <w:b/>
          <w:i/>
          <w:caps w:val="false"/>
          <w:smallCaps w:val="false"/>
          <w:sz w:val="20"/>
        </w:rPr>
        <w:t>Company’s Accounting System</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and its Subsidiaries maintain a system of internal control over financial reporting (as such term is defined in Rule 13a-15(f) of the Exchange Act) that complies with the requirements of the Exchange Act and that has been designed by, or under the supervision of, the Company’s principal executive and principal financial officers, to provide reasonable assurance regarding the reliability of financial reporting and the preparation of financial statements for external purposes in accordance with GAAP. The Company and its Subsidiaries maintain internal accounting controls sufficient to provide reasonable assurances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 (ii) transactions are recorded as necessary to permit preparation of the Company’s financial statements in conformity with GAAP and to maintain accountability for its assets, (iii) access to the Company’s assets is permitted only in accordance with management’s general or specific authorization, and (iv) the recorded accountability for the Company’s assets is compared with existing assets at reasonable intervals and appropriate action is taken with respect to any differences. Except as described in the Registration Statement, the Time of Sale Prospectus and the Prospectus, since the end of the Company’s most recent audited fiscal year, there has been (A) no material weakness in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 Since the date of the most recent balance sheet of the Company reviewed or audited by Baker Tilly, the Company has not been advised of or become aware of any fraud, whether or not material, that involves management or other employees who have a significant role in the internal controls of the Company and the Subsidiaries.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         </w:t>
      </w:r>
      <w:r>
        <w:rPr>
          <w:rFonts w:ascii="Times New Roman;Times;Serif" w:hAnsi="Times New Roman;Times;Serif"/>
          <w:b/>
          <w:i/>
          <w:caps w:val="false"/>
          <w:smallCaps w:val="false"/>
          <w:sz w:val="20"/>
        </w:rPr>
        <w:t>Disclosure Controls and Procedures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 The Company and the Subsidiaries maintain disclosure controls and procedures (as such term is defined in Rule 13a-15(e) under the Exchange Act), (ii) such disclosure controls and procedures are designed to ensure that the information required to be disclosed by the Company and the Subsidiaries in the reports they file or submit under the Exchange Act is accumulated and communicated to management of the Company and the Subsidiaries, including their respective principal executive officers and principal financial officers, as appropriate, to allow timely decisions regarding required disclosure to be made, and (iii) such disclosure controls and procedures are effective in all material respects to perform the functions for which they were established.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          </w:t>
      </w:r>
      <w:r>
        <w:rPr>
          <w:rFonts w:ascii="Times New Roman;Times;Serif" w:hAnsi="Times New Roman;Times;Serif"/>
          <w:b/>
          <w:i/>
          <w:caps w:val="false"/>
          <w:smallCaps w:val="false"/>
          <w:sz w:val="20"/>
        </w:rPr>
        <w:t>Incorporation and Good Standing of the Company and its Subsidiaries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of the Company and its Subsidiaries has been duly organized, is validly existing and in good standing (where such concept is applicable) as a corporation or other business entity under the laws of its jurisdiction of organization and is duly qualified to do business and in good standing (where such concept is applicable) as a foreign corporation or other business entity in each jurisdiction in which its ownership or lease of property or the conduct of its businesses requires such qualification, except where the failure to be so qualified or in good standing could not, in the aggregate, reasonably be expected to have a Material Adverse Effect.  The Company does not own or control, directly or indirectly, any corporation, association or other entity other than the subsidiaries listed in Exhibit 21.1 to the Company’s Annual Report on Form 10-K for the most recently ended fiscal year and other than (i) those subsidiaries not required to be listed on Exhibit 21.1 by Item 601 of Regulation S-K under the Exchange Act and (ii) those subsidiaries formed since the last day of the most recently ended fiscal year.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         </w:t>
      </w:r>
      <w:r>
        <w:rPr>
          <w:rFonts w:ascii="Times New Roman;Times;Serif" w:hAnsi="Times New Roman;Times;Serif"/>
          <w:b/>
          <w:i/>
          <w:caps w:val="false"/>
          <w:smallCaps w:val="false"/>
          <w:sz w:val="20"/>
        </w:rPr>
        <w:t>Capitalization and Other Capital Stock Matters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Except as disclosed in the Registration Statement, the Time of Sale Prospectus and the Prospectus, the Company has an authorized capitalization as set forth in the latest balance sheet incorporated by reference in the Registration Statement, the Time of Sale Prospectus and the Prospectus, and all of the issued shares of capital stock of the Company have been duly and validly authorized and issued, are fully paid and non-assessable, have been issued in compliance with federal and state securities laws, and conform to the description thereof contained in the Time of Sale Prospectus and the Prospectus. The Shares (including the Offered Shares) conform in all material respects to the description thereof contained in the Time of Sale Prospectus. All of the Company’s options, warrants and other rights to purchase or exchange any securities for shares of the Company’s capital stock have been duly and validly authorized and issued and were issued in compliance with federal and state securities laws. None of the outstanding Shares was issued in violation of any preemptive rights, rights of first refusal or other similar rights to subscribe for or purchase securities of the Company. All of the Company’s options, warrants and other rights to purchase or exchange any securities for shares of the Company have been duly authorized and validly issued, and conform to the description thereof contained in the Registration Statement, the Time of Sale Prospectus and the Prospectus. The description of the Company’s stock option, stock bonus and other stock plans or arrangements, and the options or other rights granted thereunder, as described in the Prospectus, accurately and fairly presents the information required to be shown with respect to such plans, arrangements, options and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(q)         </w:t>
      </w:r>
      <w:r>
        <w:rPr>
          <w:rFonts w:ascii="Times New Roman;Times;Serif" w:hAnsi="Times New Roman;Times;Serif"/>
          <w:b/>
          <w:i/>
          <w:caps w:val="false"/>
          <w:smallCaps w:val="false"/>
          <w:sz w:val="20"/>
        </w:rPr>
        <w:t>Option Grants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All grants and issuances of the Company’s shares to its or its Subsidiaries’ employees were made pursuant to the equity compensation plans of the Company. With respect to the options to purchase Company shares (the “</w:t>
      </w:r>
      <w:r>
        <w:rPr>
          <w:rFonts w:ascii="Times New Roman;Times;Serif" w:hAnsi="Times New Roman;Times;Serif"/>
          <w:b/>
          <w:i w:val="false"/>
          <w:caps w:val="false"/>
          <w:smallCaps w:val="false"/>
          <w:sz w:val="20"/>
          <w:u w:val="single"/>
        </w:rPr>
        <w:t>Stock Options</w:t>
      </w:r>
      <w:r>
        <w:rPr>
          <w:rFonts w:ascii="Times New Roman;Times;Serif" w:hAnsi="Times New Roman;Times;Serif"/>
          <w:b w:val="false"/>
          <w:i w:val="false"/>
          <w:caps w:val="false"/>
          <w:smallCaps w:val="false"/>
          <w:sz w:val="20"/>
        </w:rPr>
        <w:t>”), (i) to the Company’s knowledge, each Stock Option purported to be issued under Section 102 of the Israel Tax Ordinance qualifies for treatment under that section and for treatment under the capital gains track, (ii) to the Company’s knowledge, each Stock Option, if any, intended to qualify as an “incentive stock option” under Section 422 of the Internal Revenue Code of 1986, as amended (the “</w:t>
      </w:r>
      <w:r>
        <w:rPr>
          <w:rFonts w:ascii="Times New Roman;Times;Serif" w:hAnsi="Times New Roman;Times;Serif"/>
          <w:b/>
          <w:i w:val="false"/>
          <w:caps w:val="false"/>
          <w:smallCaps w:val="false"/>
          <w:sz w:val="20"/>
          <w:u w:val="single"/>
        </w:rPr>
        <w:t>Code</w:t>
      </w:r>
      <w:r>
        <w:rPr>
          <w:rFonts w:ascii="Times New Roman;Times;Serif" w:hAnsi="Times New Roman;Times;Serif"/>
          <w:b w:val="false"/>
          <w:i w:val="false"/>
          <w:caps w:val="false"/>
          <w:smallCaps w:val="false"/>
          <w:sz w:val="20"/>
        </w:rPr>
        <w:t>”), so qualifies, and (iii) each grant of a Stock Option was duly authorized no later than the date on which the grant of such Stock Option was by its terms to be effective by all necessary corporate action, including, as applicable, approval by the board of directors of the Company (or a duly constituted and authorized committee thereof) and any required shareholder approval by the necessary number of votes or written consents, or, if any such corporate action was taken after the effective grant date of any Stock Option, it authorized such Stock Option as of its effective grant date, and the award agreement governing such grant (if any) was duly executed and delivered by each party thereto. Except as disclosed in or contemplated by the Registration Statement or the Prospectus, as of the date referred to therein, the Company does not have outstanding any options to purchase, or any rights or warrants to subscribe for, or any securities or obligations convertible into, or exchangeable for, or any contracts or commitments to issue or sell, any shares of capital stock or other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         </w:t>
      </w:r>
      <w:r>
        <w:rPr>
          <w:rFonts w:ascii="Times New Roman;Times;Serif" w:hAnsi="Times New Roman;Times;Serif"/>
          <w:b/>
          <w:i/>
          <w:caps w:val="false"/>
          <w:smallCaps w:val="false"/>
          <w:sz w:val="20"/>
        </w:rPr>
        <w:t>Stock Exchange Listing</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Common Stock is registered pursuant to Section 12(b) of the Exchange Act and is currently listed on Nasdaq under the trading symbol “YARW.” The Company has taken no action designed to, or likely to have the effect of, terminating the registration of the Common Stock under the Exchange Act, delisting the Common Stock from Nasdaq, nor has the Company received any notification that the Commission or Nasdaq is contemplating terminating such registration or listing. To the Company’s knowledge, it is in compliance with all applicable listing requirements of Nasdaq.</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         </w:t>
      </w:r>
      <w:r>
        <w:rPr>
          <w:rFonts w:ascii="Times New Roman;Times;Serif" w:hAnsi="Times New Roman;Times;Serif"/>
          <w:b/>
          <w:i/>
          <w:caps w:val="false"/>
          <w:smallCaps w:val="false"/>
          <w:sz w:val="20"/>
        </w:rPr>
        <w:t>Non-Contravention of Existing Instruments; No Further Authorizations or Approvals Required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 consent, approval, authorization or order of, or filing, registration or qualification with, any Governmental Authority having jurisdiction over the Company or any Subsidiary or any of their properties or assets is required for the offer and sale of the Offered Shares, the execution, delivery and performance of this Agreement by the Company, the consummation of the transactions contemplated hereby, the application of the proceeds from the sale of the Offered Shares as described under “Use of Proceeds” in the Time of Sale Prospectus and the Prospectus, except for (i) the registration of the Offered Shares under the Securities Act; (ii) such consents, approvals, authorizations, orders, filings, registrations or qualifications as may be required under the Exchange Act, and applicable state or foreign securities laws or the bylaws and rules of FINRA in connection with the sale of the Offered Shares by the Underwriters; and (iii) the transaction notification to Nasdaq.</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          </w:t>
      </w:r>
      <w:r>
        <w:rPr>
          <w:rFonts w:ascii="Times New Roman;Times;Serif" w:hAnsi="Times New Roman;Times;Serif"/>
          <w:b/>
          <w:i/>
          <w:caps w:val="false"/>
          <w:smallCaps w:val="false"/>
          <w:sz w:val="20"/>
        </w:rPr>
        <w:t>No Default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Neither the Company nor any of its Subsidiaries (i) is in violation of its articles of association, charter or by-laws (or similar organizational documents), (ii) is in default, and no event has occurred that, with notice or lapse of time or both, would constitute such a default, in the due performance or observance of any term, covenant, condition or other obligation contained in any indenture, mortgage, deed of trust, loan agreement, license or other agreement or instrument to which it is a party or by which it is bound or to which any of its properties or assets is subject, or (iii) is in violation of any statute or any order, rule or regulation of any Governmental Authority having jurisdiction over it or its property or assets or has failed to obtain any license, permit, certificate, franchise or other governmental authorization or permit necessary to the ownership of its property or to the conduct of its business, except in the case of clauses (ii) and (iii), to the extent any such conflict, breach, violation or default could not, individually or in the aggregate, reasonably be expected to have a Material Adverse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(u)         </w:t>
      </w:r>
      <w:r>
        <w:rPr>
          <w:rFonts w:ascii="Times New Roman;Times;Serif" w:hAnsi="Times New Roman;Times;Serif"/>
          <w:b/>
          <w:i/>
          <w:caps w:val="false"/>
          <w:smallCaps w:val="false"/>
          <w:sz w:val="20"/>
        </w:rPr>
        <w:t>Compliance with Laws.</w:t>
      </w:r>
      <w:r>
        <w:rPr>
          <w:rFonts w:ascii="Times New Roman;Times;Serif" w:hAnsi="Times New Roman;Times;Serif"/>
          <w:b w:val="false"/>
          <w:i w:val="false"/>
          <w:caps w:val="false"/>
          <w:smallCaps w:val="false"/>
          <w:sz w:val="20"/>
        </w:rPr>
        <w:t xml:space="preserve"> The Company has not been advised, and has no reason to believe, that it and each of its subsidiaries are not conducting business in compliance with all applicable laws, rules and regulations of the jurisdictions in which it is conducting business, except where failure to be so in compliance would not result in a Material Adverse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          </w:t>
      </w:r>
      <w:r>
        <w:rPr>
          <w:rFonts w:ascii="Times New Roman;Times;Serif" w:hAnsi="Times New Roman;Times;Serif"/>
          <w:b/>
          <w:i/>
          <w:caps w:val="false"/>
          <w:smallCaps w:val="false"/>
          <w:sz w:val="20"/>
        </w:rPr>
        <w:t>No Material Actions or Proceedings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Except as disclosed in the Registration Statement or the Time of Sale Prospectus, there are no legal or governmental proceedings pending to which the Company or any of its Subsidiaries is a party or of which any property or assets of the Company or any Subsidiary is the subject that could, in the aggregate, reasonably be expected to have a Material Adverse Effect or could, in the aggregate, reasonably be expected to have a material adverse effect on the performance of this Agreement or the consummation of the transactions contemplated hereby; and to the Company’s knowledge, no such proceedings are threatened or contemplated by Governmental Authorities or others. No labor disturbance by or dispute with the employees of the Company or any of its Subsidiaries exists or, to the knowledge of the Company, is imminent that could reasonably be expected to have a Material Adverse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         </w:t>
      </w:r>
      <w:r>
        <w:rPr>
          <w:rFonts w:ascii="Times New Roman;Times;Serif" w:hAnsi="Times New Roman;Times;Serif"/>
          <w:b/>
          <w:i/>
          <w:caps w:val="false"/>
          <w:smallCaps w:val="false"/>
          <w:sz w:val="20"/>
        </w:rPr>
        <w:t>Intellectual Property Rights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Except as would not reasonably be expected to have a Material Adverse Effect, the Company owns or possesses adequate rights to use all patent applications, patents, trademarks, trade names, trademark registrations, service marks, service mark registrations, copyrights, licenses, knowhow, software, systems and technology (including trade secrets and other unpatented or un-patentable proprietary or confidential information, systems or procedures) (collectively, the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necessary for the conduct of its business as currently conducted or as proposed in the Registration Statement, the Time of Sale Prospectus and the Prospectus to be conducted. The Company owns all Intellectual Property described in the Registration Statement, the Time of Sale Prospectus and the Prospectus as being owned by it (“</w:t>
      </w:r>
      <w:r>
        <w:rPr>
          <w:rFonts w:ascii="Times New Roman;Times;Serif" w:hAnsi="Times New Roman;Times;Serif"/>
          <w:b/>
          <w:i w:val="false"/>
          <w:caps w:val="false"/>
          <w:smallCaps w:val="false"/>
          <w:sz w:val="20"/>
        </w:rPr>
        <w:t>Company Intellectual Property</w:t>
      </w:r>
      <w:r>
        <w:rPr>
          <w:rFonts w:ascii="Times New Roman;Times;Serif" w:hAnsi="Times New Roman;Times;Serif"/>
          <w:b w:val="false"/>
          <w:i w:val="false"/>
          <w:caps w:val="false"/>
          <w:smallCaps w:val="false"/>
          <w:sz w:val="20"/>
        </w:rPr>
        <w:t>”). To the Company’s knowledge, and except as disclosed in the Registration Statement or the Prospectus: (i) there are no third parties who have material rights to any Company Intellectual Property; and (ii) there is no infringement by third parties of any Company Intellectual Property. Except as would not reasonably be expected to have a Material Adverse Effect, there is no pending or, to the Company’s knowledge, threatened action, suit, proceeding or claim by others: (A) challenging the Company’s rights in or to any Company Intellectual Property, and the Company is unaware of any facts which would form a reasonable basis for any such action, suit, proceeding or claim; (B) challenging the validity, enforceability or scope of any Company Intellectual Property, and the Company is unaware of any facts which would form a reasonable basis for any such action, suit, proceeding or claim; or (C) asserting that the Company or its Subsidiaries infringe or otherwise violate, or would, upon the commercialization of any product or service described in the Registration Statement, the Time of Sale Prospectus or the Prospectus as under development, infringe or violate, any Intellectual Property of others, and the Company is unaware of any facts which would form a reasonable basis for any such action, suit, proceeding or claim. The Company and its Subsidiaries have complied in all material respects with the terms of any agreement pursuant to which Intellectual Property has been licensed to the Company or such Subsidiary, and all such agreements are in full force and effect. The product candidates described in the Registration Statement, the Time of Sale Prospectus and the Prospectus fall within the scope of the claims of one or more patents or patent applications owned by the Company, though not all features or aspects of such product candidates are necessarily protected by such claims.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          </w:t>
      </w:r>
      <w:r>
        <w:rPr>
          <w:rFonts w:ascii="Times New Roman;Times;Serif" w:hAnsi="Times New Roman;Times;Serif"/>
          <w:b/>
          <w:i/>
          <w:caps w:val="false"/>
          <w:smallCaps w:val="false"/>
          <w:sz w:val="20"/>
        </w:rPr>
        <w:t>All Necessary Permits, etc</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and its Subsidiaries possess such valid and current certificates, registrations, approvals, authorizations or permits required by state, federal or foreign, including Israeli, regulatory agencies or bodies to conduct their respective businesses as currently conducted and as described in the Registration Statement, the Time of Sale Prospectus or the Prospectus (“</w:t>
      </w:r>
      <w:r>
        <w:rPr>
          <w:rFonts w:ascii="Times New Roman;Times;Serif" w:hAnsi="Times New Roman;Times;Serif"/>
          <w:b/>
          <w:i w:val="false"/>
          <w:caps w:val="false"/>
          <w:smallCaps w:val="false"/>
          <w:sz w:val="20"/>
          <w:u w:val="single"/>
        </w:rPr>
        <w:t>Permits</w:t>
      </w:r>
      <w:r>
        <w:rPr>
          <w:rFonts w:ascii="Times New Roman;Times;Serif" w:hAnsi="Times New Roman;Times;Serif"/>
          <w:b w:val="false"/>
          <w:i w:val="false"/>
          <w:caps w:val="false"/>
          <w:smallCaps w:val="false"/>
          <w:sz w:val="20"/>
        </w:rPr>
        <w:t>”), except where the failure to possess any Permits would not, individually or in the aggregate, reasonably be expected to have a Material Adverse Effect.  Neither the Company nor any of its Subsidiaries is in violation of, or in default under, any of the Permits, except as would not, individually or in the aggregate, reasonably be expected to have a Material Adverse Effect, nor has the Company or any of its Subsidiaries received any notice of proceedings relating to the revocation or modification of, or non-compliance with, any such material Permit.  Neither the Company nor any of its Subsidiaries has received any notice of proceedings relating to the revocation or modification of any Permits which, singly or in the aggregate, if the subject of an unfavorable decision, ruling or finding, would reasonably be expected to result in a Material Adverse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(y)          </w:t>
      </w:r>
      <w:r>
        <w:rPr>
          <w:rFonts w:ascii="Times New Roman;Times;Serif" w:hAnsi="Times New Roman;Times;Serif"/>
          <w:b/>
          <w:i/>
          <w:caps w:val="false"/>
          <w:smallCaps w:val="false"/>
          <w:sz w:val="20"/>
        </w:rPr>
        <w:t>Healthcare Laws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its Subsidiaries and, to the Company’s knowledge, their respective directors, officers, employees, and agents (while acting in such capacity) are, and at all times prior hereto have been, in compliance with all health care laws and regulations applicable to the Company, its Subsidiaries or any of their respective products, product candidates or activities, including such laws and regulations relating to any aspect of the development, testing, manufacturing, sales and marketing of health care or pharmaceutical products, kickbacks, recordkeeping, documentation requirements, the hiring of employees, quality, safety, privacy, security, licensure or accreditation, including, without limitation, the Federal Food, Drug and Cosmetic Act (21 U.S.C. § 301 et seq.), the federal Anti-Kickback Statute (42 U.S.C. § 1320a-7b(b)), the civil False Claims Act (31 U.S.C. § 3729 et seq.), the criminal False Claims Law (42 U.S.C. § 1320a-7b(a)), the Civil Monetary Penalties Law (42 U.S.C. § 1320a-7a), all criminal laws relating to health care fraud and abuse, including but not limited to 18 U.S.C. Sections 286, 287, 1035, 1347 and 1349, and the health care fraud criminal provisions under the Health Insurance Portability and Accountability Act of 1996 (42 U.S.C. § 1320d et seq.), as amended by the Health Information Technology for Economic and Clinical Health Act of 2009 (42 U.S.C. § 17921 et seq.), the exclusion laws (42 U.S.C. § 1320a-7), Medicare (Title XVIII of the Social Security Act), Medicaid (Title XIX of the Social Security Act), the Physician Payments Sunshine Act (42 U.S.C. § 1320a-7h), and the regulations promulgated pursuant to such laws, and comparable state laws, and all other local, state, federal, national, supranational, and foreign laws relating to the regulation of the Company, including the collection and reporting requirements, and the processing of any applicable rebate, chargeback or adjustment, under applicable rules and regulations relating to the Medicaid Drug Rebate Program (42 U.S.C. § 1396r-8) and any state supplemental rebate program, Medicare average sales price reporting (42 U.S.C. § 1395w-3a), the Public Health Service Act (42 U.S.C. § 256b), the VA Federal Supply Schedule (38 U.S.C. § 8126) or under any state pharmaceutical assistance program or U.S. Department of Veterans Affairs agreement, and any successor government programs (collectively, “</w:t>
      </w:r>
      <w:r>
        <w:rPr>
          <w:rFonts w:ascii="Times New Roman;Times;Serif" w:hAnsi="Times New Roman;Times;Serif"/>
          <w:b/>
          <w:i w:val="false"/>
          <w:caps w:val="false"/>
          <w:smallCaps w:val="false"/>
          <w:sz w:val="20"/>
          <w:u w:val="single"/>
        </w:rPr>
        <w:t>Health Care Laws</w:t>
      </w:r>
      <w:r>
        <w:rPr>
          <w:rFonts w:ascii="Times New Roman;Times;Serif" w:hAnsi="Times New Roman;Times;Serif"/>
          <w:b w:val="false"/>
          <w:i w:val="false"/>
          <w:caps w:val="false"/>
          <w:smallCaps w:val="false"/>
          <w:sz w:val="20"/>
        </w:rPr>
        <w:t>”), except where such noncompliance would not, individually or in the aggregate, have a Material Adverse Effect. None of the Company, its Subsidiaries or any of their respective directors, officers or employees acting in such capacity has engaged in any activities which are, as applicable, cause for federal or state false claims act liability, civil monetary penalties under the federal Civil Monetary Penalties Law, or mandatory or permissive exclusion from any local, state or federal healthcare program. Except as set forth in the Registration Statement and Prospectus or as would not reasonably be expected to have a Material Adverse Effect, neither the Company nor any of its Subsidiaries has received any notification, correspondence or any other written or oral communication, including notification of any pending or threatened claim, suit, proceeding, hearing, enforcement, investigation, arbitration or other action from any Governmental Authority, including, without limitation, the United States Food and Drug Administration (“</w:t>
      </w:r>
      <w:r>
        <w:rPr>
          <w:rFonts w:ascii="Times New Roman;Times;Serif" w:hAnsi="Times New Roman;Times;Serif"/>
          <w:b/>
          <w:i w:val="false"/>
          <w:caps w:val="false"/>
          <w:smallCaps w:val="false"/>
          <w:sz w:val="20"/>
          <w:u w:val="single"/>
        </w:rPr>
        <w:t>FDA</w:t>
      </w:r>
      <w:r>
        <w:rPr>
          <w:rFonts w:ascii="Times New Roman;Times;Serif" w:hAnsi="Times New Roman;Times;Serif"/>
          <w:b w:val="false"/>
          <w:i w:val="false"/>
          <w:caps w:val="false"/>
          <w:smallCaps w:val="false"/>
          <w:sz w:val="20"/>
        </w:rPr>
        <w:t>”), the Drug Enforcement Administration, the Centers for Medicare &amp; Medicaid Services, the U.S. Department of Health and Human Services Office of Inspector General, the Department of Justice and the Ministry of Health of the State of Israel, of potential or actual non-compliance by, or liability of, the Company or its Subsidiaries under any Health Care Laws. To the Company’s knowledge, there are no facts or circumstances that would reasonably be expected to give rise to liability of the Company or its Subsidiaries under any Health Care 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(z)         </w:t>
      </w:r>
      <w:r>
        <w:rPr>
          <w:rFonts w:ascii="Times New Roman;Times;Serif" w:hAnsi="Times New Roman;Times;Serif"/>
          <w:b/>
          <w:i/>
          <w:caps w:val="false"/>
          <w:smallCaps w:val="false"/>
          <w:sz w:val="20"/>
        </w:rPr>
        <w:t>Research &amp; Development Sites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Except as disclosed in the Registration Statement, the Time of Sale Prospectus or the Prospectus or as would not reasonably be expected to have a Material Adverse Effect, during the last three years, the Company has not had any research and development site (whether Company-owned or that of a contractor or a joint developer for Company product candidates) subject to a Governmental Authority (including FDA) shutdown or import or export prohibition, nor received any FDA Form 483 or other written Governmental Authority notice of inspectional observations, “warning letters,” “untitled letters,” requests to make changes to the Company product candidates, processes or operations, or similar written correspondence or notice from the FDA or other Governmental Authority alleging or asserting material noncompliance with any applicable Health Care Laws. To the Company’s knowledge, neither the FDA nor any other Governmental Authority is considering such action.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(aa)       </w:t>
      </w:r>
      <w:r>
        <w:rPr>
          <w:rFonts w:ascii="Times New Roman;Times;Serif" w:hAnsi="Times New Roman;Times;Serif"/>
          <w:b/>
          <w:i/>
          <w:caps w:val="false"/>
          <w:smallCaps w:val="false"/>
          <w:sz w:val="20"/>
        </w:rPr>
        <w:t>Safety Notices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Except as would not reasonably be expected to have a Material Adverse Effect, (i) there are no recalls, field notifications, field corrections, market withdrawals or replacements, warnings, “dear doctor” letters, investigator notices, safety alerts or other notice of action relating to an alleged lack of safety, efficacy, or regulatory compliance of the Company products (“</w:t>
      </w:r>
      <w:r>
        <w:rPr>
          <w:rFonts w:ascii="Times New Roman;Times;Serif" w:hAnsi="Times New Roman;Times;Serif"/>
          <w:b/>
          <w:i w:val="false"/>
          <w:caps w:val="false"/>
          <w:smallCaps w:val="false"/>
          <w:sz w:val="20"/>
          <w:u w:val="single"/>
        </w:rPr>
        <w:t>Safety Notices</w:t>
      </w:r>
      <w:r>
        <w:rPr>
          <w:rFonts w:ascii="Times New Roman;Times;Serif" w:hAnsi="Times New Roman;Times;Serif"/>
          <w:b w:val="false"/>
          <w:i w:val="false"/>
          <w:caps w:val="false"/>
          <w:smallCaps w:val="false"/>
          <w:sz w:val="20"/>
        </w:rPr>
        <w:t>”) during the last three years and (ii) to the Company’s knowledge, there are no material complaints with respect to the Company products that are currently unresolved. There are no Safety Notices, or, to the Company’s knowledge, material product complaints with respect to the Company products, and to the Company’s knowledge, there are no facts that would be reasonably likely to result in (i) a material Safety Notice with respect to the Company products, (ii) a material change in labeling of any of the Company products, or (iii) a termination or suspension of marketing or testing of any of the Company products.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(bb)       </w:t>
      </w:r>
      <w:r>
        <w:rPr>
          <w:rFonts w:ascii="Times New Roman;Times;Serif" w:hAnsi="Times New Roman;Times;Serif"/>
          <w:b/>
          <w:i/>
          <w:caps w:val="false"/>
          <w:smallCaps w:val="false"/>
          <w:sz w:val="20"/>
        </w:rPr>
        <w:t>Clinical Trials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clinical and preclinical studies and tests conducted by the Company, and, to the knowledge of the Company, the clinical and preclinical studies and tests conducted on behalf of or sponsored by the Company or its Subsidiaries, were, and if still pending, are, being conducted in all material respects in accordance with all applicable Health Care Laws and standard medical and scientific research procedures, including, but not limited to, the Federal Food, Drug and Cosmetic Act and its applicable implementing regulations at 21 C.F.R. Parts 50, 54, 56, 58 and 312.  Any descriptions of clinical, preclinical and other studies and tests, including any related results and regulatory status, contained in the Registration Statement, the Time of Sale Prospectus or the Prospectus are accurate in all material respects.  Except as disclosed in the Registration Statement, the Time of Sale Prospectus or the Prospectus and to the Company’s knowledge, there are no studies, tests or trials the results of which reasonably call into question in any material respect the clinical trial results described or referred to in the Registration Statement, the Time of Sale Prospectus or the Prospectus.  Except as disclosed in the Registration Statement, the Time of Sale Prospectus or the Prospectus, neither the FDA nor any applicable foreign regulatory agency has commenced, or, to the Company’s knowledge, threatened to initiate, any action to place a clinical hold order on, or otherwise terminate, delay or suspend, any proposed or ongoing clinical study or trial conducted or proposed to be conducted by or on behalf of the Company.  The Company has made all such filings and obtained all such approvals as may be required by the Israeli Ministry of Health, the FDA or any committee thereof or from any other U.S., Israeli or foreign government or drug or medical device regulatory agency, or health care facility Institutional Review Board (collectively, the “</w:t>
      </w:r>
      <w:r>
        <w:rPr>
          <w:rFonts w:ascii="Times New Roman;Times;Serif" w:hAnsi="Times New Roman;Times;Serif"/>
          <w:b/>
          <w:i w:val="false"/>
          <w:caps w:val="false"/>
          <w:smallCaps w:val="false"/>
          <w:sz w:val="20"/>
          <w:u w:val="single"/>
        </w:rPr>
        <w:t>Regulatory Agencies</w:t>
      </w:r>
      <w:r>
        <w:rPr>
          <w:rFonts w:ascii="Times New Roman;Times;Serif" w:hAnsi="Times New Roman;Times;Serif"/>
          <w:b w:val="false"/>
          <w:i w:val="false"/>
          <w:caps w:val="false"/>
          <w:smallCaps w:val="false"/>
          <w:sz w:val="20"/>
        </w:rPr>
        <w:t xml:space="preserve">”), and the Company has operated and currently is in compliance in all material respects with all applicable rules, regulations and policies of the Regulatory Agencies, </w:t>
      </w:r>
      <w:r>
        <w:rPr>
          <w:rFonts w:ascii="Times New Roman;Times;Serif" w:hAnsi="Times New Roman;Times;Serif"/>
          <w:b w:val="false"/>
          <w:i/>
          <w:caps w:val="false"/>
          <w:smallCaps w:val="false"/>
          <w:sz w:val="20"/>
        </w:rPr>
        <w:t>except</w:t>
      </w:r>
      <w:r>
        <w:rPr>
          <w:rFonts w:ascii="Times New Roman;Times;Serif" w:hAnsi="Times New Roman;Times;Serif"/>
          <w:b w:val="false"/>
          <w:i w:val="false"/>
          <w:caps w:val="false"/>
          <w:smallCaps w:val="false"/>
          <w:sz w:val="20"/>
        </w:rPr>
        <w:t xml:space="preserve"> where the failure to make such filings, obtain such approval or comply with such rules, regulations and policies could not reasonably be expected to, individually or in the aggregate, result in a Material Adverse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(cc)        </w:t>
      </w:r>
      <w:r>
        <w:rPr>
          <w:rFonts w:ascii="Times New Roman;Times;Serif" w:hAnsi="Times New Roman;Times;Serif"/>
          <w:b/>
          <w:i/>
          <w:caps w:val="false"/>
          <w:smallCaps w:val="false"/>
          <w:sz w:val="20"/>
        </w:rPr>
        <w:t>No Reporting Obligations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Neither the Company nor any of its Subsidiaries is a party to or has any ongoing reporting obligations pursuant to any corporate integrity agreements, monitoring agreements, deferred prosecution agreements, consent decrees, settlement orders, or similar agreements with or imposed by any Governmental Authority.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(dd)        </w:t>
      </w:r>
      <w:r>
        <w:rPr>
          <w:rFonts w:ascii="Times New Roman;Times;Serif" w:hAnsi="Times New Roman;Times;Serif"/>
          <w:b/>
          <w:i/>
          <w:caps w:val="false"/>
          <w:smallCaps w:val="false"/>
          <w:sz w:val="20"/>
        </w:rPr>
        <w:t>No Bad Actors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None of the Company, its Subsidiaries or any of its respective directors, officers, employees or, to the Company’s knowledge, agents, is debarred, suspended or excluded, or has been convicted of any crime or engaged in any conduct that could result in a debarment or exclusion, from any federal or state government health care program under 21 U.S.C. Sec. 335a or any similar state law, rule or regulation. Except as disclosed in the Registration Statement, the Time of Sale Prospectus or the Prospectus, no claims, actions, proceedings or investigations that would reasonably be expected to result in such a debarment, suspension or exclusion are pending or, to the Company’s knowledge, threatened against the Company, its Subsidiaries or any of its respective directors, officers, employees or agents.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(ee)       </w:t>
      </w:r>
      <w:r>
        <w:rPr>
          <w:rFonts w:ascii="Times New Roman;Times;Serif" w:hAnsi="Times New Roman;Times;Serif"/>
          <w:b/>
          <w:i/>
          <w:caps w:val="false"/>
          <w:smallCaps w:val="false"/>
          <w:sz w:val="20"/>
        </w:rPr>
        <w:t>Export and Import Laws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of the Company and its Subsidiaries, and, to the Company’s knowledge, each of their affiliates and any director, officer, agent or employee of, or other person associated with or acting on behalf of, the Company has acted at all times in compliance with applicable Export and Import Laws (as defined below) and there are no claims, complaints, charges, investigations or proceedings pending or expected or, to the knowledge of the Company, threatened between the Company or any of its Subsidiaries and any Governmental Authority under any Export or Import Laws. The term “</w:t>
      </w:r>
      <w:r>
        <w:rPr>
          <w:rFonts w:ascii="Times New Roman;Times;Serif" w:hAnsi="Times New Roman;Times;Serif"/>
          <w:b/>
          <w:i w:val="false"/>
          <w:caps w:val="false"/>
          <w:smallCaps w:val="false"/>
          <w:sz w:val="20"/>
          <w:u w:val="single"/>
        </w:rPr>
        <w:t>Export and Import Laws</w:t>
      </w:r>
      <w:r>
        <w:rPr>
          <w:rFonts w:ascii="Times New Roman;Times;Serif" w:hAnsi="Times New Roman;Times;Serif"/>
          <w:b w:val="false"/>
          <w:i w:val="false"/>
          <w:caps w:val="false"/>
          <w:smallCaps w:val="false"/>
          <w:sz w:val="20"/>
        </w:rPr>
        <w:t>” means the Arms Export Control Act, the International Traffic in Arms Regulations, the Export Administration Act of 1979, as amended, the Export Administration Regulations, and all other laws and regulations of the United States government regulating the provision of services to non-U.S. parties or the export and import of articles or information from and to the United States of America, and all similar laws and regulations of any foreign government regulating the provision of services to parties not of the foreign country or the export and import of articles and information from and to the foreign country to parties not of the foreign country.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(ff)        </w:t>
      </w:r>
      <w:r>
        <w:rPr>
          <w:rFonts w:ascii="Times New Roman;Times;Serif" w:hAnsi="Times New Roman;Times;Serif"/>
          <w:b/>
          <w:i/>
          <w:caps w:val="false"/>
          <w:smallCaps w:val="false"/>
          <w:sz w:val="20"/>
        </w:rPr>
        <w:t>Material Agreements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There are no contracts or other documents required to be described in the Registration Statement or the Prospectus or filed as exhibits to the Registration Statement that are not described and filed as required.  The statements made in the Prospectus, insofar as they purport to constitute summaries of the terms of the contracts and other documents described and filed, constitute accurate summaries of the terms of such contracts and documents in all material respects.  Neither the Company nor any of its Subsidiaries has knowledge that any other party to any such contract or other document has any intention not to render full performance in all material respects as contemplated by the terms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(gg)       </w:t>
      </w:r>
      <w:r>
        <w:rPr>
          <w:rFonts w:ascii="Times New Roman;Times;Serif" w:hAnsi="Times New Roman;Times;Serif"/>
          <w:b/>
          <w:i/>
          <w:caps w:val="false"/>
          <w:smallCaps w:val="false"/>
          <w:sz w:val="20"/>
        </w:rPr>
        <w:t>Certain Disclosure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statements made in the Prospectus under the captions “Securities We May Offer,” “Description of Securities We Are Offering,” and the statements made in the Company’s Annual Report on Form 10-K for the year ended December 31, 2025 under the caption “Item 1—Business—Government Regulation”, insofar as they purport to constitute summaries of the terms of statutes, rules or regulations, legal or governmental proceedings or of contracts and other documents described therein, constitute accurate summaries of the terms of such statutes, rules and regulations, legal and governmental proceedings and contracts and other documents in all material respects.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(hh)       </w:t>
      </w:r>
      <w:r>
        <w:rPr>
          <w:rFonts w:ascii="Times New Roman;Times;Serif" w:hAnsi="Times New Roman;Times;Serif"/>
          <w:b/>
          <w:i/>
          <w:caps w:val="false"/>
          <w:smallCaps w:val="false"/>
          <w:sz w:val="20"/>
        </w:rPr>
        <w:t>Title to Properties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and its Subsidiaries have good and marketable title to all personal property owned by them, in each case free and clear of all liens, encumbrances and defects, except such liens, encumbrances and defects as are described in the Registration Statement, the Time of Sale Prospectus or the Prospectus or such as would not materially affect the value of such property and do not materially interfere with the use made and proposed to be made of such property by the Company and its Subsidiaries. All assets held under lease by the Company and its Subsidiaries are held by them under valid, subsisting and enforceable leases, with such exceptions as do not materially interfere with the use made and proposed to be made of such assets by the Company and its Subsidiaries.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i/>
          <w:caps w:val="false"/>
          <w:smallCaps w:val="false"/>
          <w:sz w:val="20"/>
        </w:rPr>
        <w:t>Tax Law Compliance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and its Subsidiaries have filed all federal, state, local and foreign tax returns required to be filed through the date hereof, subject to permitted extensions, and have paid all taxes due, and no tax deficiency has been determined adversely to the Company or any of its Subsidiaries, nor does the Company have any knowledge of any tax deficiencies that have been, or could reasonably be expected to be asserted against the Company, in each case that could, in the aggregate, reasonably be expected to have a Material Adverse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(jj)         </w:t>
      </w:r>
      <w:r>
        <w:rPr>
          <w:rFonts w:ascii="Times New Roman;Times;Serif" w:hAnsi="Times New Roman;Times;Serif"/>
          <w:b/>
          <w:i/>
          <w:caps w:val="false"/>
          <w:smallCaps w:val="false"/>
          <w:sz w:val="20"/>
        </w:rPr>
        <w:t>Insurance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and each of its Subsidiaries carry, or are covered by, insurance from insurers of recognized financial responsibility in such amounts and covering such risks as is adequate for the conduct of their respective businesses and the value of their respective properties and as is customary for companies engaged in similar businesses in similar industries at a similar stage of development.  All policies of insurance of the Company and each of its Subsidiaries are in full force and effect; the Company and each of its Subsidiaries are in compliance with the terms of such policies in all material respects; and neither the Company nor any of its Subsidiaries has received notice from any insurer or agent of such insurer that capital improvements or other expenditures are required or necessary to be made in order to continue such insurance; there are no claims by the Company or any of its Subsidiaries under any such policy or instrument as to which any insurance company is denying liability or defending under a reservation of rights clause;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could not reasonably be expected to have a Material Adverse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(kk)      </w:t>
      </w:r>
      <w:r>
        <w:rPr>
          <w:rFonts w:ascii="Times New Roman;Times;Serif" w:hAnsi="Times New Roman;Times;Serif"/>
          <w:b/>
          <w:i/>
          <w:caps w:val="false"/>
          <w:smallCaps w:val="false"/>
          <w:sz w:val="20"/>
        </w:rPr>
        <w:t>Compliance with Environmental Laws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and its Subsidiaries (i) are, and at all times prior hereto were, in compliance with all laws, regulations, ordinances, rules, orders, judgments, decrees, permits or other legal requirements of any Governmental Authority, including without limitation any international, foreign, national, state, provincial, regional, or local authority, relating to pollution, the protection of human health or safety, the environment, or natural resources, or to use, handling, storage, manufacturing, transportation, treatment, discharge, disposal or release of hazardous or toxic substances or wastes, pollutants or contaminants (“</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applicable to such entity, which compliance includes, without limitation, obtaining, maintaining and complying with all permits and authorizations and approvals required by Environmental Laws to conduct their respective businesses, and (ii) have not received notice or otherwise have knowledge of any actual or alleged violation of Environmental Laws, or of any actual or potential liability for or other obligation concerning the presence, disposal or release of hazardous or toxic substances or wastes, pollutants or contaminants, except in the case of clause (i) or (ii) where such non-compliance, violation, liability, or other obligation would not, in the aggregate, reasonably be expected to have a Material Adverse Effect. Except as disclosed in the Registration Statement, the Time of Sale Prospectus and the Prospectus, (x) there are no proceedings that are pending, or known to be contemplated, against the Company or any of its Subsidiaries under Environmental Laws in which a Governmental Authority is also a party, other than such proceedings regarding which it is reasonably believed no monetary sanctions of $100,000 or more will be imposed, and (y) the Company and its Subsidiaries are not aware of any issues regarding compliance with Environmental Laws or liabilities or other obligations under Environmental Laws or concerning hazardous or toxic substances or wastes, pollutants or contaminants that could reasonably be expected to have a Material Adverse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(ll)         </w:t>
      </w:r>
      <w:r>
        <w:rPr>
          <w:rFonts w:ascii="Times New Roman;Times;Serif" w:hAnsi="Times New Roman;Times;Serif"/>
          <w:b/>
          <w:i/>
          <w:caps w:val="false"/>
          <w:smallCaps w:val="false"/>
          <w:sz w:val="20"/>
        </w:rPr>
        <w:t>ERISA Compliance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 Each “employee benefit plan” (within the meaning of Section 3(3) of the Employee Retirement Income Security Act of 1974, as amended (“</w:t>
      </w:r>
      <w:r>
        <w:rPr>
          <w:rFonts w:ascii="Times New Roman;Times;Serif" w:hAnsi="Times New Roman;Times;Serif"/>
          <w:b/>
          <w:i w:val="false"/>
          <w:caps w:val="false"/>
          <w:smallCaps w:val="false"/>
          <w:sz w:val="20"/>
          <w:u w:val="single"/>
        </w:rPr>
        <w:t>ERISA</w:t>
      </w:r>
      <w:r>
        <w:rPr>
          <w:rFonts w:ascii="Times New Roman;Times;Serif" w:hAnsi="Times New Roman;Times;Serif"/>
          <w:b w:val="false"/>
          <w:i w:val="false"/>
          <w:caps w:val="false"/>
          <w:smallCaps w:val="false"/>
          <w:sz w:val="20"/>
        </w:rPr>
        <w:t>”)) for which the Company or any member of its “Controlled Group” (defined as any organization which is a member of a controlled group of corporations within the meaning of Section 414 of the Code) would have any liability (each a “</w:t>
      </w:r>
      <w:r>
        <w:rPr>
          <w:rFonts w:ascii="Times New Roman;Times;Serif" w:hAnsi="Times New Roman;Times;Serif"/>
          <w:b/>
          <w:i w:val="false"/>
          <w:caps w:val="false"/>
          <w:smallCaps w:val="false"/>
          <w:sz w:val="20"/>
          <w:u w:val="single"/>
        </w:rPr>
        <w:t>Plan</w:t>
      </w:r>
      <w:r>
        <w:rPr>
          <w:rFonts w:ascii="Times New Roman;Times;Serif" w:hAnsi="Times New Roman;Times;Serif"/>
          <w:b w:val="false"/>
          <w:i w:val="false"/>
          <w:caps w:val="false"/>
          <w:smallCaps w:val="false"/>
          <w:sz w:val="20"/>
        </w:rPr>
        <w:t>”) has been maintained in compliance with its terms and with the requirements of all applicable statutes, rules and regulations including ERISA and the Code in all material respects; (ii) no prohibited transaction, within the meaning of Section 406 of ERISA or Section 4975 of the Code, has occurred with respect to any Plan excluding transactions effected pursuant to a statutory or administrative exemption; (iii) with respect to each Plan subject to Title IV of ERISA (A) no “reportable event” (within the meaning of Section 4043(c) of ERISA) has occurred or is reasonably expected to occur, (B) no “accumulated funding deficiency” (within the meaning of Section 302 of ERISA or Section 412 of the Code), whether or not waived, has occurred or is reasonably expected to occur, (C) the fair market value of the assets under each Plan exceeds the present value of all benefits accrued under such Plan (determined based on those assumptions used to fund such Plan), and (D) neither the Company nor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4001(c)(3) of ERISA); and (iv) each Plan that is intended to be qualified under Section 401(a) of the Code is so qualified and, to the Company’s knowledge, nothing has occurred, whether by action or by failure to act, which would cause the loss of such qualification.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(mm)     </w:t>
      </w:r>
      <w:r>
        <w:rPr>
          <w:rFonts w:ascii="Times New Roman;Times;Serif" w:hAnsi="Times New Roman;Times;Serif"/>
          <w:b/>
          <w:i/>
          <w:caps w:val="false"/>
          <w:smallCaps w:val="false"/>
          <w:sz w:val="20"/>
        </w:rPr>
        <w:t>Company Not an “Investment Company.”</w:t>
      </w:r>
      <w:r>
        <w:rPr>
          <w:rFonts w:ascii="Times New Roman;Times;Serif" w:hAnsi="Times New Roman;Times;Serif"/>
          <w:b w:val="false"/>
          <w:i w:val="false"/>
          <w:caps w:val="false"/>
          <w:smallCaps w:val="false"/>
          <w:sz w:val="20"/>
        </w:rPr>
        <w:t xml:space="preserve"> Neither the Company nor any of its Subsidiaries is, and, after giving effect to the offer and sale of the Offered Shares and the application of the proceeds therefrom as described under “Use of Proceeds” in the Registration Statement, the Time of Sale Prospectus or the Prospectus, none of them will be, (i) an “investment company” or a company “controlled” by an “investment company” within the meaning of the Investment Company Act of 1940, as amended (the “</w:t>
      </w:r>
      <w:r>
        <w:rPr>
          <w:rFonts w:ascii="Times New Roman;Times;Serif" w:hAnsi="Times New Roman;Times;Serif"/>
          <w:b/>
          <w:i w:val="false"/>
          <w:caps w:val="false"/>
          <w:smallCaps w:val="false"/>
          <w:sz w:val="20"/>
          <w:u w:val="single"/>
        </w:rPr>
        <w:t>Investment Company Act</w:t>
      </w:r>
      <w:r>
        <w:rPr>
          <w:rFonts w:ascii="Times New Roman;Times;Serif" w:hAnsi="Times New Roman;Times;Serif"/>
          <w:b w:val="false"/>
          <w:i w:val="false"/>
          <w:caps w:val="false"/>
          <w:smallCaps w:val="false"/>
          <w:sz w:val="20"/>
        </w:rPr>
        <w:t>”), and the rules and regulations of the Commission thereunder, or (ii) a “business development company” (as defined in Section 2(a)(48) of the Investment Company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(nn)       </w:t>
      </w:r>
      <w:r>
        <w:rPr>
          <w:rFonts w:ascii="Times New Roman;Times;Serif" w:hAnsi="Times New Roman;Times;Serif"/>
          <w:b/>
          <w:i/>
          <w:caps w:val="false"/>
          <w:smallCaps w:val="false"/>
          <w:sz w:val="20"/>
        </w:rPr>
        <w:t>No Price Stabilization or Manipulation; Compliance with Regulation M</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Neither the Company nor any of its subsidiaries has taken, directly or indirectly, without giving effect to any activities by the Underwriters, any action designed to or that has constituted or that might reasonably be expected to cause or result in stabilization or manipulation of the price of the Shares or of any “reference security” (as defined in Rule 100 of Regulation M under the Exchange Act (“</w:t>
      </w:r>
      <w:r>
        <w:rPr>
          <w:rFonts w:ascii="Times New Roman;Times;Serif" w:hAnsi="Times New Roman;Times;Serif"/>
          <w:b/>
          <w:i w:val="false"/>
          <w:caps w:val="false"/>
          <w:smallCaps w:val="false"/>
          <w:sz w:val="20"/>
          <w:u w:val="single"/>
        </w:rPr>
        <w:t>Regulation M</w:t>
      </w:r>
      <w:r>
        <w:rPr>
          <w:rFonts w:ascii="Times New Roman;Times;Serif" w:hAnsi="Times New Roman;Times;Serif"/>
          <w:b w:val="false"/>
          <w:i w:val="false"/>
          <w:caps w:val="false"/>
          <w:smallCaps w:val="false"/>
          <w:sz w:val="20"/>
        </w:rPr>
        <w:t>”)) with respect to the Shares, whether to facilitate the sale or resale of the Offered Shares or otherwise, and has taken no action which would directly or indirectly violate Regulation 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(oo)       </w:t>
      </w:r>
      <w:r>
        <w:rPr>
          <w:rFonts w:ascii="Times New Roman;Times;Serif" w:hAnsi="Times New Roman;Times;Serif"/>
          <w:b/>
          <w:i/>
          <w:caps w:val="false"/>
          <w:smallCaps w:val="false"/>
          <w:sz w:val="20"/>
        </w:rPr>
        <w:t>Related-Party Transactions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 relationship, direct or indirect, exists between or among the Company, on the one hand, and the directors, officers, shareholders, customers or suppliers of the Company, on the other hand, that is required to be described in the Registration Statement, the Time of Sale Prospectus or the Prospectus, in the Company’s most recent Annual Report on Form 10-K or in the Company’s most recent Definitive Proxy Statement on Schedule 14A which is not so described.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(pp)       </w:t>
      </w:r>
      <w:r>
        <w:rPr>
          <w:rFonts w:ascii="Times New Roman;Times;Serif" w:hAnsi="Times New Roman;Times;Serif"/>
          <w:b/>
          <w:i/>
          <w:caps w:val="false"/>
          <w:smallCaps w:val="false"/>
          <w:sz w:val="20"/>
        </w:rPr>
        <w:t>Exchange Act Compliance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Registration Statement, the Time of Sale Prospectus, the Prospectus or any amendment or supplement thereto, and the documents incorporated by reference in the Registration Statement, the Prospectus or any amendment or supplement thereto, when such documents were or are filed with the Commission under the Securities Act or the Exchange Act or became or become effective under the Securities Act, as the case may be, conformed or will conform in all material respects with the requirements of the Securities Act and the Exchange Act, as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(qq)       </w:t>
      </w:r>
      <w:r>
        <w:rPr>
          <w:rFonts w:ascii="Times New Roman;Times;Serif" w:hAnsi="Times New Roman;Times;Serif"/>
          <w:b/>
          <w:i/>
          <w:caps w:val="false"/>
          <w:smallCaps w:val="false"/>
          <w:sz w:val="20"/>
        </w:rPr>
        <w:t>FINRA Matters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All of the information provided to the Underwriters or to counsel for the Underwriters by the Company, its counsel, its officers and directors and, to the Company’s knowledge, the holders of any securities (debt or equity) or options to acquire any securities of the Company in connection with the offering of the Offered Shares is true, complete and correct in all material respects and compliant with FINRA’s rules and any letters, filings or other supplemental information provided to FINRA pursuant to FINRA Rules is true, complete and correct in all material respects.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(rr)       </w:t>
      </w:r>
      <w:r>
        <w:rPr>
          <w:rFonts w:ascii="Times New Roman;Times;Serif" w:hAnsi="Times New Roman;Times;Serif"/>
          <w:b/>
          <w:i/>
          <w:caps w:val="false"/>
          <w:smallCaps w:val="false"/>
          <w:sz w:val="20"/>
        </w:rPr>
        <w:t>Parties to Lock-Up Agreements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has furnished to the Underwriters a letter agreement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Lock-up Agreement</w:t>
      </w:r>
      <w:r>
        <w:rPr>
          <w:rFonts w:ascii="Times New Roman;Times;Serif" w:hAnsi="Times New Roman;Times;Serif"/>
          <w:b w:val="false"/>
          <w:i w:val="false"/>
          <w:caps w:val="false"/>
          <w:smallCaps w:val="false"/>
          <w:sz w:val="20"/>
        </w:rPr>
        <w:t xml:space="preserve">”) from each of the persons listed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Such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lists under an appropriate caption the directors and executive officers of the Company. If any additional persons shall become directors or executive officers of the Company prior to the end of the Lock-up Period, the Company shall cause each such person, prior to or contemporaneously with their appointment or election as a director or executive officer of the Company, to execute and deliver to the Representatives a Lock-up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ss</w:t>
      </w:r>
      <w:r>
        <w:rPr>
          <w:rFonts w:ascii="Times New Roman;Times;Serif" w:hAnsi="Times New Roman;Times;Serif"/>
          <w:b/>
          <w:i w:val="false"/>
          <w:caps w:val="false"/>
          <w:smallCaps w:val="false"/>
          <w:sz w:val="20"/>
        </w:rPr>
        <w:t xml:space="preserve">)       </w:t>
      </w:r>
      <w:r>
        <w:rPr>
          <w:rFonts w:ascii="Times New Roman;Times;Serif" w:hAnsi="Times New Roman;Times;Serif"/>
          <w:b/>
          <w:i/>
          <w:caps w:val="false"/>
          <w:smallCaps w:val="false"/>
          <w:sz w:val="20"/>
        </w:rPr>
        <w:t>Statistical and Market-Related Data</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statistical and market-related data included or incorporated by reference in the Registration Statement, the Time of Sale Prospectus or the Prospectus is based on or derived from sources that the Company believes to be reliable in all material respects.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(tt)         </w:t>
      </w:r>
      <w:r>
        <w:rPr>
          <w:rFonts w:ascii="Times New Roman;Times;Serif" w:hAnsi="Times New Roman;Times;Serif"/>
          <w:b/>
          <w:i/>
          <w:caps w:val="false"/>
          <w:smallCaps w:val="false"/>
          <w:sz w:val="20"/>
        </w:rPr>
        <w:t>Sarbanes-Oxley Act.</w:t>
      </w:r>
      <w:r>
        <w:rPr>
          <w:rFonts w:ascii="Times New Roman;Times;Serif" w:hAnsi="Times New Roman;Times;Serif"/>
          <w:b w:val="false"/>
          <w:i w:val="false"/>
          <w:caps w:val="false"/>
          <w:smallCaps w:val="false"/>
          <w:sz w:val="20"/>
        </w:rPr>
        <w:t xml:space="preserve"> There is and has been no failure on the part of the Company, its Subsidiaries and any of the Company’s directors or officers, in their capacities as such, to comply with any provision of the Sarbanes-Oxley Act and the rules and regulations promulgated in connection therewith which are applicable to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(uu)       </w:t>
      </w:r>
      <w:r>
        <w:rPr>
          <w:rFonts w:ascii="Times New Roman;Times;Serif" w:hAnsi="Times New Roman;Times;Serif"/>
          <w:b/>
          <w:i/>
          <w:caps w:val="false"/>
          <w:smallCaps w:val="false"/>
          <w:sz w:val="20"/>
        </w:rPr>
        <w:t>No Unlawful Contributions or Other Payments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Neither the Company nor any of its Subsidiaries nor, to the Company’s knowledge, any director, officer, employee, agent, affiliate or other person acting on behalf of the Company or any Subsidiary, has (i) used any corporate funds for unlawful contributions, gifts, entertainment or other unlawful expenses relating to political activity, (ii) made any direct or indirect unlawful payment to foreign or domestic government officials or employees, political parties or campaigns, political party officials, or candidates for political office from corporate funds, (iii) violated or is in violation of any provision of the U.S. Foreign Corrupt Practices Act of 1977, as amended, or any applicable anti-corruption laws, rules, or regulation of any other jurisdiction in which the Company or any Subsidiary conducts business, or (iv) made any other unlawful bribe, rebate, payoff, influence payment, kickback, or other unlawful payment to any person.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(vv)        </w:t>
      </w:r>
      <w:r>
        <w:rPr>
          <w:rFonts w:ascii="Times New Roman;Times;Serif" w:hAnsi="Times New Roman;Times;Serif"/>
          <w:b/>
          <w:i/>
          <w:caps w:val="false"/>
          <w:smallCaps w:val="false"/>
          <w:sz w:val="20"/>
        </w:rPr>
        <w:t>Money Laundering Laws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operations of the Company and each of its Subsidiaries are and have been conducted at all times in compliance with applicable financial recordkeeping and reporting requirements of the Currency and Foreign Transactions Reporting Act of 1970, as amended, the money laundering statutes of all jurisdictions in which the Company and its Subsidiaries conduct business, the rules and regulations thereunder and any related or similar rules, regulations or guidelines, issued, administered or enforced by any Governmental Authority (collectively, the “</w:t>
      </w:r>
      <w:r>
        <w:rPr>
          <w:rFonts w:ascii="Times New Roman;Times;Serif" w:hAnsi="Times New Roman;Times;Serif"/>
          <w:b/>
          <w:i w:val="false"/>
          <w:caps w:val="false"/>
          <w:smallCaps w:val="false"/>
          <w:sz w:val="20"/>
          <w:u w:val="single"/>
        </w:rPr>
        <w:t>Money Laundering Laws</w:t>
      </w:r>
      <w:r>
        <w:rPr>
          <w:rFonts w:ascii="Times New Roman;Times;Serif" w:hAnsi="Times New Roman;Times;Serif"/>
          <w:b w:val="false"/>
          <w:i w:val="false"/>
          <w:caps w:val="false"/>
          <w:smallCaps w:val="false"/>
          <w:sz w:val="20"/>
        </w:rPr>
        <w:t>”) and no action, suit or proceeding by or before any court or Governmental Authority involving the Company or any of its Subsidiaries with respect to the Money Laundering Laws is pending or, to the knowledge of the Company, threatened.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(ww)      </w:t>
      </w:r>
      <w:r>
        <w:rPr>
          <w:rFonts w:ascii="Times New Roman;Times;Serif" w:hAnsi="Times New Roman;Times;Serif"/>
          <w:b/>
          <w:i/>
          <w:caps w:val="false"/>
          <w:smallCaps w:val="false"/>
          <w:sz w:val="20"/>
        </w:rPr>
        <w:t>Sanctions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Neither the Company nor any of its Subsidiaries nor, to the knowledge of the Company, any director, officer, agent, employee, affiliate or representative of the Company or any of its Subsidiaries is an individual or entity (“</w:t>
      </w:r>
      <w:r>
        <w:rPr>
          <w:rFonts w:ascii="Times New Roman;Times;Serif" w:hAnsi="Times New Roman;Times;Serif"/>
          <w:b/>
          <w:i w:val="false"/>
          <w:caps w:val="false"/>
          <w:smallCaps w:val="false"/>
          <w:sz w:val="20"/>
          <w:u w:val="single"/>
        </w:rPr>
        <w:t>Person</w:t>
      </w:r>
      <w:r>
        <w:rPr>
          <w:rFonts w:ascii="Times New Roman;Times;Serif" w:hAnsi="Times New Roman;Times;Serif"/>
          <w:b w:val="false"/>
          <w:i w:val="false"/>
          <w:caps w:val="false"/>
          <w:smallCaps w:val="false"/>
          <w:sz w:val="20"/>
        </w:rPr>
        <w:t>”) currently the subject or target of any sanctions administered or enforced by the United States Government, including, without limitation, the U.S. Department of the Treasury’s Office of Foreign Assets Control and the U.S. Department of State, the United Nations Security Council, the European Union or His Majesty’s Treasury (collectively, “</w:t>
      </w:r>
      <w:r>
        <w:rPr>
          <w:rFonts w:ascii="Times New Roman;Times;Serif" w:hAnsi="Times New Roman;Times;Serif"/>
          <w:b/>
          <w:i w:val="false"/>
          <w:caps w:val="false"/>
          <w:smallCaps w:val="false"/>
          <w:sz w:val="20"/>
          <w:u w:val="single"/>
        </w:rPr>
        <w:t>Sanctions</w:t>
      </w:r>
      <w:r>
        <w:rPr>
          <w:rFonts w:ascii="Times New Roman;Times;Serif" w:hAnsi="Times New Roman;Times;Serif"/>
          <w:b w:val="false"/>
          <w:i w:val="false"/>
          <w:caps w:val="false"/>
          <w:smallCaps w:val="false"/>
          <w:sz w:val="20"/>
        </w:rPr>
        <w:t>”), nor is the Company located, organized or resident in a country or territory that is the subject of Sanctions; and the Company will not, directly or indirectly, use the proceeds of the sale of the Offered Shares, or lend, contribute or otherwise make available such proceeds to its Subsidiaries, joint venture partners or other Person, to fund any activities of or business with any Person, or in any country or territory that, at the time of such funding, is the subject of Sanctions or in any other manner that will result in a violation by any Person (including any Person participating in the offering, whether as agent, underwriter, advisor, investor or otherwise) of Sanctions. For the past ten years, the Company and its Subsidiaries have not knowingly engaged in and are not now knowingly engaged in any dealings or transactions with any person that at the time of the dealing or transaction is or was the subject or the target of Sanctions or with any country or territory that is the subject of Sanctions; the Company and its subsidiaries have instituted, and maintain, policies and procedures designed to promote and achieve continued compliance with Sanctions.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(xx)        </w:t>
      </w:r>
      <w:r>
        <w:rPr>
          <w:rFonts w:ascii="Times New Roman;Times;Serif" w:hAnsi="Times New Roman;Times;Serif"/>
          <w:b/>
          <w:i/>
          <w:caps w:val="false"/>
          <w:smallCaps w:val="false"/>
          <w:sz w:val="20"/>
        </w:rPr>
        <w:t>Brokers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Neither the Company nor any of its Subsidiaries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FINRA Manual). Except pursuant to this Agreement, neither the Company nor any of its Subsidiaries is a party to any contract, agreement or understanding with any person (other than this Agreement) that would give rise to a valid claim against any of them for a brokerage commission, finder’s fee or like payment in connection with the offering and sale of the Offered Shares.  Neither the Company nor any of its Subsidiaries is a party to any contract, agreement or understanding with any person (other than this Agreement) that would give rise to a valid claim against the Underwriters for a brokerage commission, finder’s fee or like payment in connection with the offering and sale of the Offered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(yy)       </w:t>
      </w:r>
      <w:r>
        <w:rPr>
          <w:rFonts w:ascii="Times New Roman;Times;Serif" w:hAnsi="Times New Roman;Times;Serif"/>
          <w:b/>
          <w:i/>
          <w:caps w:val="false"/>
          <w:smallCaps w:val="false"/>
          <w:sz w:val="20"/>
        </w:rPr>
        <w:t>Forward-Looking Statements.</w:t>
      </w:r>
      <w:r>
        <w:rPr>
          <w:rFonts w:ascii="Times New Roman;Times;Serif" w:hAnsi="Times New Roman;Times;Serif"/>
          <w:b w:val="false"/>
          <w:i w:val="false"/>
          <w:caps w:val="false"/>
          <w:smallCaps w:val="false"/>
          <w:sz w:val="20"/>
        </w:rPr>
        <w:t xml:space="preserve"> No forward-looking statement (within the meaning of Section 27A of the Securities Act and Section 21E of the Exchange Act) contained in the Registration Statement, Time of Sale Prospectus or the Prospectus has been made or reaffirmed without a reasonable basis or has been disclosed other than in good faith.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(zz)       </w:t>
      </w:r>
      <w:r>
        <w:rPr>
          <w:rFonts w:ascii="Times New Roman;Times;Serif" w:hAnsi="Times New Roman;Times;Serif"/>
          <w:b/>
          <w:i/>
          <w:caps w:val="false"/>
          <w:smallCaps w:val="false"/>
          <w:sz w:val="20"/>
        </w:rPr>
        <w:t>Valid Agreements.</w:t>
      </w:r>
      <w:r>
        <w:rPr>
          <w:rFonts w:ascii="Times New Roman;Times;Serif" w:hAnsi="Times New Roman;Times;Serif"/>
          <w:b w:val="false"/>
          <w:i w:val="false"/>
          <w:caps w:val="false"/>
          <w:smallCaps w:val="false"/>
          <w:sz w:val="20"/>
        </w:rPr>
        <w:t xml:space="preserve"> All agreements between the Company and third parties expressly referenced in the Time of Sale Prospectus and Prospectus are legal, valid and binding obligations of the Company enforceable in accordance with their respective terms, except to the extent that (i) enforceability may be limited by bankruptcy, insolvency, reorganization, moratorium or similar laws affecting creditors’ rights generally and by general equitable principles and (ii) the indemnification provisions of certain agreements may be limited by federal or state securities laws or public policy considerations in respect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(aaa)     </w:t>
      </w:r>
      <w:r>
        <w:rPr>
          <w:rFonts w:ascii="Times New Roman;Times;Serif" w:hAnsi="Times New Roman;Times;Serif"/>
          <w:b/>
          <w:i/>
          <w:caps w:val="false"/>
          <w:smallCaps w:val="false"/>
          <w:sz w:val="20"/>
        </w:rPr>
        <w:t>Not a Shell Company.</w:t>
      </w:r>
      <w:r>
        <w:rPr>
          <w:rFonts w:ascii="Times New Roman;Times;Serif" w:hAnsi="Times New Roman;Times;Serif"/>
          <w:b w:val="false"/>
          <w:i w:val="false"/>
          <w:caps w:val="false"/>
          <w:smallCaps w:val="false"/>
          <w:sz w:val="20"/>
        </w:rPr>
        <w:t xml:space="preserve"> The Company is not a shell company (as defined in Rule 405 under the Securities Act) and has not been a shell company for at least 12 calendar months previously and if it has been a shell company at any time previously, has filed current Form 10 information (as defined in General Instruction I.B.6 of Form S-3) with the Commission at least 12 calendar months previously reflecting its status as an entity that is not a shell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(bbb)     </w:t>
      </w:r>
      <w:r>
        <w:rPr>
          <w:rFonts w:ascii="Times New Roman;Times;Serif" w:hAnsi="Times New Roman;Times;Serif"/>
          <w:b/>
          <w:i/>
          <w:caps w:val="false"/>
          <w:smallCaps w:val="false"/>
          <w:sz w:val="20"/>
        </w:rPr>
        <w:t>No Integration.</w:t>
      </w:r>
      <w:r>
        <w:rPr>
          <w:rFonts w:ascii="Times New Roman;Times;Serif" w:hAnsi="Times New Roman;Times;Serif"/>
          <w:b w:val="false"/>
          <w:i w:val="false"/>
          <w:caps w:val="false"/>
          <w:smallCaps w:val="false"/>
          <w:sz w:val="20"/>
        </w:rPr>
        <w:t xml:space="preserve"> The Company has not sold or issued any securities that would be integrated with the offering of the Offered Shares contemplated by this Agreement pursuant to the Securities Act, the rules and regulations thereunder or the interpretations thereof by the Commission.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(ccc)      </w:t>
      </w:r>
      <w:r>
        <w:rPr>
          <w:rFonts w:ascii="Times New Roman;Times;Serif" w:hAnsi="Times New Roman;Times;Serif"/>
          <w:b/>
          <w:i/>
          <w:caps w:val="false"/>
          <w:smallCaps w:val="false"/>
          <w:sz w:val="20"/>
        </w:rPr>
        <w:t>No Outstanding Loans or Other Extensions of Credit</w:t>
      </w:r>
      <w:r>
        <w:rPr>
          <w:rFonts w:ascii="Times New Roman;Times;Serif" w:hAnsi="Times New Roman;Times;Serif"/>
          <w:b w:val="false"/>
          <w:i w:val="false"/>
          <w:caps w:val="false"/>
          <w:smallCaps w:val="false"/>
          <w:sz w:val="20"/>
        </w:rPr>
        <w:t>. Subsequent to the respective dates as of which information is given in the Registration Statement, the Time of Sale Prospectus and the Prospectus (including any document deemed incorporated by reference therein), there has not been (i) any Material Adverse Effect or the occurrence of any development that the Company reasonably expects will result in a Material Adverse Effect, (ii) any transaction which is material to the Company and its Subsidiaries taken as a whole, (iii) any obligation or liability, direct or contingent (including any off-balance sheet obligations), incurred by the Company or any Subsidiary, which is material to the Company and its Subsidiaries taken as a whole, (iv) any material change in the capital stock or outstanding long-term indebtedness of the Company or any Subsidiary or (v) any dividend or distribution of any kind declared, paid or made on the capital stock of the Company or any Subsidiary, other than in each case above in the ordinary course of business or as otherwise disclosed in the Registration Statement or the Time of Sale Prospectus (including any document deemed incorporated by reference therein).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(ddd)     </w:t>
      </w:r>
      <w:r>
        <w:rPr>
          <w:rFonts w:ascii="Times New Roman;Times;Serif" w:hAnsi="Times New Roman;Times;Serif"/>
          <w:b/>
          <w:i/>
          <w:caps w:val="false"/>
          <w:smallCaps w:val="false"/>
          <w:sz w:val="20"/>
        </w:rPr>
        <w:t>Cybersecurity</w:t>
      </w:r>
      <w:r>
        <w:rPr>
          <w:rFonts w:ascii="Times New Roman;Times;Serif" w:hAnsi="Times New Roman;Times;Serif"/>
          <w:b w:val="false"/>
          <w:i w:val="false"/>
          <w:caps w:val="false"/>
          <w:smallCaps w:val="false"/>
          <w:sz w:val="20"/>
        </w:rPr>
        <w:t>. Except as may be included or incorporated by reference in the Registration Statement, the Time of Sale Prospectus and the Prospectus, (i)(x) there has been no material security breach or attack or other compromise of or relating to any of the Company’s and each of its Subsidiaries’ information technology and computer systems, networks, hardware, software, data (including the data of their respective customers, employees, suppliers, vendors and any third party data maintained by or on behalf of them), equipment or technology (collectively, “</w:t>
      </w:r>
      <w:r>
        <w:rPr>
          <w:rFonts w:ascii="Times New Roman;Times;Serif" w:hAnsi="Times New Roman;Times;Serif"/>
          <w:b/>
          <w:i w:val="false"/>
          <w:caps w:val="false"/>
          <w:smallCaps w:val="false"/>
          <w:sz w:val="20"/>
        </w:rPr>
        <w:t>IT Systems and Data</w:t>
      </w:r>
      <w:r>
        <w:rPr>
          <w:rFonts w:ascii="Times New Roman;Times;Serif" w:hAnsi="Times New Roman;Times;Serif"/>
          <w:b w:val="false"/>
          <w:i w:val="false"/>
          <w:caps w:val="false"/>
          <w:smallCaps w:val="false"/>
          <w:sz w:val="20"/>
        </w:rPr>
        <w:t>”) and (y) the Company and its Subsidiaries have not been notified of, and have no knowledge of any event or condition that would reasonably be expected to result in, any security breach, attack or compromise to their IT Systems and Data, (ii) the Company and its Subsidiaries have complied, and are presently in compliance with all applicable laws, statutes or any judgment, order, rule or regulation of any Governmental Authority and all internal policies and contractual obligations relating to the privacy and security of IT Systems and Data and to the protection of such IT Systems and Data from unauthorized use, access, misappropriation or modification, except where such noncompliance would not, individually or in the aggregate, reasonably be expected to have a Material Adverse Effect and (iii) the Company and its Subsidiaries have implemented backup technology consistent with industry standards and practice.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(eee)     </w:t>
      </w:r>
      <w:r>
        <w:rPr>
          <w:rFonts w:ascii="Times New Roman;Times;Serif" w:hAnsi="Times New Roman;Times;Serif"/>
          <w:b/>
          <w:i/>
          <w:caps w:val="false"/>
          <w:smallCaps w:val="false"/>
          <w:sz w:val="20"/>
        </w:rPr>
        <w:t>No Reliance</w:t>
      </w:r>
      <w:r>
        <w:rPr>
          <w:rFonts w:ascii="Times New Roman;Times;Serif" w:hAnsi="Times New Roman;Times;Serif"/>
          <w:b w:val="false"/>
          <w:i w:val="false"/>
          <w:caps w:val="false"/>
          <w:smallCaps w:val="false"/>
          <w:sz w:val="20"/>
        </w:rPr>
        <w:t>. The Company has not relied upon the Underwriters or legal counsel for the Underwriters for any legal, tax or accounting advice in connection with the offering and sale of the Offered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(fff)        </w:t>
      </w:r>
      <w:r>
        <w:rPr>
          <w:rFonts w:ascii="Times New Roman;Times;Serif" w:hAnsi="Times New Roman;Times;Serif"/>
          <w:b/>
          <w:i/>
          <w:caps w:val="false"/>
          <w:smallCaps w:val="false"/>
          <w:sz w:val="20"/>
        </w:rPr>
        <w:t>Compliance with Employment Laws</w:t>
      </w:r>
      <w:r>
        <w:rPr>
          <w:rFonts w:ascii="Times New Roman;Times;Serif" w:hAnsi="Times New Roman;Times;Serif"/>
          <w:b w:val="false"/>
          <w:i w:val="false"/>
          <w:caps w:val="false"/>
          <w:smallCaps w:val="false"/>
          <w:sz w:val="20"/>
        </w:rPr>
        <w:t>. Neither the Company nor any of its Subsidiaries is in violation of or has received notice of any violation with respect to any federal or state law relating to discrimination in the hiring, promotion or pay of employees, nor any applicable federal or state wage and hour laws, nor any state law precluding the denial of credit due to the neighborhood in which a property is situated, the violation of any of which could reasonably be expected to have a Material Adverse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(ggg)    </w:t>
      </w:r>
      <w:r>
        <w:rPr>
          <w:rFonts w:ascii="Times New Roman;Times;Serif" w:hAnsi="Times New Roman;Times;Serif"/>
          <w:b/>
          <w:i/>
          <w:caps w:val="false"/>
          <w:smallCaps w:val="false"/>
          <w:sz w:val="20"/>
        </w:rPr>
        <w:t>Taxes</w:t>
      </w:r>
      <w:r>
        <w:rPr>
          <w:rFonts w:ascii="Times New Roman;Times;Serif" w:hAnsi="Times New Roman;Times;Serif"/>
          <w:b w:val="false"/>
          <w:i w:val="false"/>
          <w:caps w:val="false"/>
          <w:smallCaps w:val="false"/>
          <w:sz w:val="20"/>
        </w:rPr>
        <w:t>. On each of the First Closing Date and Option Closing Date, if any, all stock transfer or other similar taxes (other than income taxes) which are required to be paid in connection with the sale and transfer of the Offered Shares to be sold hereunder will be, or will have been, fully paid or provided for by the Company and all laws imposing such taxes will be or will have been fully complied with.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(hhh)    </w:t>
      </w:r>
      <w:r>
        <w:rPr>
          <w:rFonts w:ascii="Times New Roman;Times;Serif" w:hAnsi="Times New Roman;Times;Serif"/>
          <w:b/>
          <w:i/>
          <w:caps w:val="false"/>
          <w:smallCaps w:val="false"/>
          <w:sz w:val="20"/>
        </w:rPr>
        <w:t>Margin Rules</w:t>
      </w:r>
      <w:r>
        <w:rPr>
          <w:rFonts w:ascii="Times New Roman;Times;Serif" w:hAnsi="Times New Roman;Times;Serif"/>
          <w:b w:val="false"/>
          <w:i w:val="false"/>
          <w:caps w:val="false"/>
          <w:smallCaps w:val="false"/>
          <w:sz w:val="20"/>
        </w:rPr>
        <w:t>. Neither the issuance, sale and delivery of the Offered Shares nor the application of the proceeds thereof by the Company as described in the Registration Statement, the Time of Sale Prospectus and the Prospectus will violate Regulation T, U or X of the Board of Governors of the Federal Reserve System or any other regulation of such Board of Governors.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w:t>
      </w:r>
      <w:r>
        <w:rPr>
          <w:rFonts w:ascii="Times New Roman;Times;Serif" w:hAnsi="Times New Roman;Times;Serif"/>
          <w:b/>
          <w:i/>
          <w:caps w:val="false"/>
          <w:smallCaps w:val="false"/>
          <w:sz w:val="20"/>
        </w:rPr>
        <w:t>Outbound Investment Security Program</w:t>
      </w:r>
      <w:r>
        <w:rPr>
          <w:rFonts w:ascii="Times New Roman;Times;Serif" w:hAnsi="Times New Roman;Times;Serif"/>
          <w:b w:val="false"/>
          <w:i w:val="false"/>
          <w:caps w:val="false"/>
          <w:smallCaps w:val="false"/>
          <w:sz w:val="20"/>
        </w:rPr>
        <w:t>. Neither the Company nor any of its Subsidiaries is a “covered foreign person”, as that term is defined in 31 C.F.R. § 850.209. Neither the Company nor any of its Subsidiaries currently engages, or has plans to engage, directly or indirectly, in a “covered activity”, as that term is defined in 31 C.F.R. § 850.208 (“</w:t>
      </w:r>
      <w:r>
        <w:rPr>
          <w:rFonts w:ascii="Times New Roman;Times;Serif" w:hAnsi="Times New Roman;Times;Serif"/>
          <w:b/>
          <w:i w:val="false"/>
          <w:caps w:val="false"/>
          <w:smallCaps w:val="false"/>
          <w:sz w:val="20"/>
          <w:u w:val="single"/>
        </w:rPr>
        <w:t>Covered Activity</w:t>
      </w:r>
      <w:r>
        <w:rPr>
          <w:rFonts w:ascii="Times New Roman;Times;Serif" w:hAnsi="Times New Roman;Times;Serif"/>
          <w:b w:val="false"/>
          <w:i w:val="false"/>
          <w:caps w:val="false"/>
          <w:smallCaps w:val="false"/>
          <w:sz w:val="20"/>
        </w:rPr>
        <w:t>”). The Company does not have any joint ventures that engage in or plan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signed by any officer of the Company or any of its subsidiaries and delivered to any Underwriter or to counsel for the Underwriters in connection with the offering, or the purchase and sale, of the Offered Shares shall be deemed a representation and warranty by the Company to each Underwriter as to the matters covered thereby.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reasonable basis for making each of the representations set forth in this Section 1. The Company acknowledges that the Underwriters and, for purposes of the opinions to be delivered pursuant to ‎Section 6 hereof, counsel to the Company and counsel to the Underwriters, will rely upon the accuracy and truthfulness of the foregoing representations and hereby consents to such reliance.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           Purchase, Sale and Delivery of the Offered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i/>
          <w:caps w:val="false"/>
          <w:smallCaps w:val="false"/>
          <w:sz w:val="20"/>
        </w:rPr>
        <w:t>The Firm Shares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Upon the terms herein set forth, the Company agrees to issue and sell to the several Underwriters an aggregate of 5,769,231 Firm Shares. On the basis of the representations, warranties and agreements herein contained, and upon the terms but subject to the conditions herein set forth, the Underwriters agree, severally and not jointly, to purchase from the Company the respective number of Firm Shares set forth opposite their names on </w:t>
      </w:r>
      <w:r>
        <w:rPr>
          <w:rFonts w:ascii="Times New Roman;Times;Serif" w:hAnsi="Times New Roman;Times;Serif"/>
          <w:b w:val="false"/>
          <w:i w:val="false"/>
          <w:caps w:val="false"/>
          <w:smallCaps w:val="false"/>
          <w:sz w:val="20"/>
          <w:u w:val="single"/>
        </w:rPr>
        <w:t>Schedule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The purchase price per Firm Share to be paid by the several Underwriters to the Company shall be $24.44 per share.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i/>
          <w:caps w:val="false"/>
          <w:smallCaps w:val="false"/>
          <w:sz w:val="20"/>
        </w:rPr>
        <w:t>The First Closing Date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Delivery of the Firm Shares to be purchased by the Underwriters and payment therefor shall be made at the offices of Latham &amp; Watkins LLP (or such other place as may be agreed to by the Company and the Representatives) at 9:00 a.m. New York City time, on September 14, 2026</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or such other time and date not later than 1:30 p.m. New York City time, on September 28, 2026 as the Representatives shall designate by notice to the Company (the time and date of such closing are called the “</w:t>
      </w:r>
      <w:r>
        <w:rPr>
          <w:rFonts w:ascii="Times New Roman;Times;Serif" w:hAnsi="Times New Roman;Times;Serif"/>
          <w:b/>
          <w:i w:val="false"/>
          <w:caps w:val="false"/>
          <w:smallCaps w:val="false"/>
          <w:sz w:val="20"/>
        </w:rPr>
        <w:t>First Closing Date</w:t>
      </w:r>
      <w:r>
        <w:rPr>
          <w:rFonts w:ascii="Times New Roman;Times;Serif" w:hAnsi="Times New Roman;Times;Serif"/>
          <w:b w:val="false"/>
          <w:i w:val="false"/>
          <w:caps w:val="false"/>
          <w:smallCaps w:val="false"/>
          <w:sz w:val="20"/>
        </w:rPr>
        <w:t>”). The Company hereby acknowledges that circumstances under which the Representatives may provide notice to postpone the First Closing Date as originally scheduled include, but are not limited to, any determination by the Company or the Representatives to recirculate to the public copies of an amended or supplemented Prospectus or a delay as contemplated by the provisions of ‎Section 11.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i/>
          <w:caps w:val="false"/>
          <w:smallCaps w:val="false"/>
          <w:sz w:val="20"/>
        </w:rPr>
        <w:t>The Optional Shares; Option Closing Date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addition, on the basis of the representations, warranties and agreements herein contained, and upon the terms but subject to the conditions herein set forth, the Company hereby grants an option to the several Underwriters to purchase, severally and not jointly, up to an aggregate of 865,384 Optional Shares from the Company at the purchase price per share to be paid by the Underwriters for the Firm Shares, less an amount per share equal to any dividend or distribution declared by the Company and payable on the Firm Shares but not payable on Optional Shares. The option granted hereunder may be exercised at any time and from time to time in whole or in part upon notice by the Representatives to the Company, which notice may be given at any time within 30 days from the date of this Agreement (the “</w:t>
      </w:r>
      <w:r>
        <w:rPr>
          <w:rFonts w:ascii="Times New Roman;Times;Serif" w:hAnsi="Times New Roman;Times;Serif"/>
          <w:b/>
          <w:i w:val="false"/>
          <w:caps w:val="false"/>
          <w:smallCaps w:val="false"/>
          <w:sz w:val="20"/>
        </w:rPr>
        <w:t>Option Period</w:t>
      </w:r>
      <w:r>
        <w:rPr>
          <w:rFonts w:ascii="Times New Roman;Times;Serif" w:hAnsi="Times New Roman;Times;Serif"/>
          <w:b w:val="false"/>
          <w:i w:val="false"/>
          <w:caps w:val="false"/>
          <w:smallCaps w:val="false"/>
          <w:sz w:val="20"/>
        </w:rPr>
        <w:t>”). Such notice shall set forth (i) the aggregate number of Optional Shares as to which the Underwriters are exercising the option and (ii) the time, date and place at which the Optional Shares will be delivered (which time and date may be simultaneous with, but not earlier than, the First Closing Date; and in the event that such time and date are simultaneous with the First Closing Date, the term “</w:t>
      </w:r>
      <w:r>
        <w:rPr>
          <w:rFonts w:ascii="Times New Roman;Times;Serif" w:hAnsi="Times New Roman;Times;Serif"/>
          <w:b/>
          <w:i w:val="false"/>
          <w:caps w:val="false"/>
          <w:smallCaps w:val="false"/>
          <w:sz w:val="20"/>
        </w:rPr>
        <w:t>First Closing Date</w:t>
      </w:r>
      <w:r>
        <w:rPr>
          <w:rFonts w:ascii="Times New Roman;Times;Serif" w:hAnsi="Times New Roman;Times;Serif"/>
          <w:b w:val="false"/>
          <w:i w:val="false"/>
          <w:caps w:val="false"/>
          <w:smallCaps w:val="false"/>
          <w:sz w:val="20"/>
        </w:rPr>
        <w:t>” shall refer to the time and date of delivery of the Firm Shares and such Optional Shares). Any such time and date of delivery, if subsequent to the First Closing Date, is called an “</w:t>
      </w:r>
      <w:r>
        <w:rPr>
          <w:rFonts w:ascii="Times New Roman;Times;Serif" w:hAnsi="Times New Roman;Times;Serif"/>
          <w:b/>
          <w:i w:val="false"/>
          <w:caps w:val="false"/>
          <w:smallCaps w:val="false"/>
          <w:sz w:val="20"/>
        </w:rPr>
        <w:t>Option Closing Date</w:t>
      </w:r>
      <w:r>
        <w:rPr>
          <w:rFonts w:ascii="Times New Roman;Times;Serif" w:hAnsi="Times New Roman;Times;Serif"/>
          <w:b w:val="false"/>
          <w:i w:val="false"/>
          <w:caps w:val="false"/>
          <w:smallCaps w:val="false"/>
          <w:sz w:val="20"/>
        </w:rPr>
        <w:t xml:space="preserve">,” and shall be determined by the Representatives and shall not be earlier than two or later than five full business days after delivery of such notice of exercise. If any Optional Shares are to be purchased, each Underwriter agrees, severally and not jointly, to purchase the number of Optional Shares (subject to such adjustments to eliminate fractional shares as the Representatives may determine) that bears the same proportion to the total number of Optional Shares to be purchased as the number of Firm Shares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opposite the name of such Underwriter bears to the total number of Firm Shares. The Representatives may cancel the option at any time prior to its expiration by giving written notice of such cancellation to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i/>
          <w:caps w:val="false"/>
          <w:smallCaps w:val="false"/>
          <w:sz w:val="20"/>
        </w:rPr>
        <w:t>Public Offering of the Offered Shares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Representatives hereby advise the Company that the Underwriters intend to offer for sale to the public, initially on the terms set forth in the Registration Statement, the Time of Sale Prospectus and the Prospectus, their respective portions of the Offered Shares as soon after this Agreement has been executed as the Representatives, in their sole judgment, have determined is advisable and practicable.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i/>
          <w:caps w:val="false"/>
          <w:smallCaps w:val="false"/>
          <w:sz w:val="20"/>
        </w:rPr>
        <w:t>Payment for the Offered Shares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 Payment for the Offered Shares shall be made at the First Closing Date (and, if applicable, at each Option Closing Date) by wire transfer of immediately available funds to the order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It is understood that the Representatives have been authorized, for their own account and the accounts of the several Underwriters, to accept delivery of and receipt for, and make payment of the purchase price for, the Firm Shares and any Optional Shares the Underwriters have agreed to purchase. Jefferies, individually and not as the Representative of the Underwriters, may (but shall not be obligated to) make payment for any Offered Shares to be purchased by any Underwriter whose funds shall not have been received by the Representatives by the First Closing Date or the applicable Option Closing Date, as the case may be, for the account of such Underwriter, but any such payment shall not relieve such Underwriter from any of its obligations under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i/>
          <w:caps w:val="false"/>
          <w:smallCaps w:val="false"/>
          <w:sz w:val="20"/>
        </w:rPr>
        <w:t>Delivery of the Offered Shares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shall deliver, or cause to be delivered, through the facilities of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to the Representatives for the accounts of the several Underwriters the Firm Shares at the First Closing Date, in accordance with the Representatives’ instructions, against release of a wire transfer of immediately available funds for the amount of the purchase price therefor. The Company shall also deliver, or cause to be delivered to the Representatives for the accounts of the several Underwriters, the Optional Shares the Underwriters have agreed to purchase from them at the First Closing Date or the applicable Option Closing Date, as the case may be, against the release of a wire transfer of immediately available funds for the amount of the purchase price therefor. If Jefferies so elects, delivery of the Offered Shares may be made by credit to the accounts designated by Jefferies through DTC’s full fast transfer or DWAC programs. If Jefferies so elects, the Offered Shares shall be registered in such names and denominations as the Representatives shall have requested at least two full business days prior to the First Closing Date (or the applicable Option Closing Date, as the case may be) and shall be made available for inspection on the business day preceding the First Closing Date (or the applicable Option Closing Date, as the case may be) at a location in New York City as the Representatives may designate. Time shall be of the essence, and delivery at the time and place specified in this Agreement is a further condition to the obligations of the Underwriters.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           Additional Covenants.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further covenants and agrees with each Underwriter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i/>
          <w:caps w:val="false"/>
          <w:smallCaps w:val="false"/>
          <w:sz w:val="20"/>
        </w:rPr>
        <w:t>Delivery of Registration Statement, Time of Sale Prospectus and Prospectus.</w:t>
      </w:r>
      <w:r>
        <w:rPr>
          <w:rFonts w:ascii="Times New Roman;Times;Serif" w:hAnsi="Times New Roman;Times;Serif"/>
          <w:b w:val="false"/>
          <w:i w:val="false"/>
          <w:caps w:val="false"/>
          <w:smallCaps w:val="false"/>
          <w:sz w:val="20"/>
        </w:rPr>
        <w:t xml:space="preserve"> The Company shall furnish to you in New York City, without charge, prior to 10:00 a.m. New York City time on the business day next succeeding the date of this Agreement and during the period when a prospectus relating to the Offered Shares is required by the Securities Act to be delivered (whether physically or through compliance with Rule 172 under the Securities Act or any similar rule) in connection with sales of the Offered Shares, as many copies of the Time of Sale Prospectus, the Prospectus and any supplements and amendments thereto or to the Registration Statement as you may reasonably request.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i/>
          <w:caps w:val="false"/>
          <w:smallCaps w:val="false"/>
          <w:sz w:val="20"/>
        </w:rPr>
        <w:t>Representatives’ Review of Proposed Amendments and Supplements.</w:t>
      </w:r>
      <w:r>
        <w:rPr>
          <w:rFonts w:ascii="Times New Roman;Times;Serif" w:hAnsi="Times New Roman;Times;Serif"/>
          <w:b w:val="false"/>
          <w:i w:val="false"/>
          <w:caps w:val="false"/>
          <w:smallCaps w:val="false"/>
          <w:sz w:val="20"/>
        </w:rPr>
        <w:t xml:space="preserve"> During the period when a prospectus relating to the Offered Shares is required by the Securities Act to be delivered (whether physically or through compliance with Rule 172 under the Securities Act or any similar rule), the Company (i) will furnish to the Representatives for review, a reasonable period of time prior to the proposed time of filing of any proposed amendment or supplement to the Registration Statement, a copy of each such amendment or supplement and (ii) will not amend or supplement the Registration Statement (including any amendment or supplement through incorporation of any report filed under the Exchange Act) without the Representatives’ prior written consent, which shall not be unreasonably withheld, conditioned or delayed. Prior to amending or supplementing the Preliminary Prospectus, the Time of Sale Prospectus or the Prospectus (including any amendment or supplement through incorporation of any report filed under the Exchange Act), the Company shall furnish to the Representatives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which shall not be unreasonably withheld, conditioned or delayed. The Company shall file with the Commission within the applicable period specified in Rule 424(b) under the Securities Act any prospectus required to be filed pursuant to such Rule.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i/>
          <w:caps w:val="false"/>
          <w:smallCaps w:val="false"/>
          <w:sz w:val="20"/>
        </w:rPr>
        <w:t>Free Writing Prospectuses.</w:t>
      </w:r>
      <w:r>
        <w:rPr>
          <w:rFonts w:ascii="Times New Roman;Times;Serif" w:hAnsi="Times New Roman;Times;Serif"/>
          <w:b w:val="false"/>
          <w:i w:val="false"/>
          <w:caps w:val="false"/>
          <w:smallCaps w:val="false"/>
          <w:sz w:val="20"/>
        </w:rPr>
        <w:t xml:space="preserve"> The Company shall furnish to the Representatives for review, a reasonable amount of time prior to the proposed time of filing or use thereof, a copy of each proposed free writing prospectus or any amendment or supplement thereto prepared by or on behalf of, used by, or referred to by the Company, and the Company shall not file, use or refer to any proposed free writing prospectus or any amendment or supplement thereto without the Representatives’ prior written consent, which shall not be unreasonably withheld, conditioned or delayed. The Company shall furnish to each Underwriter, without charge, as many copies of any free writing prospectus prepared by or on behalf of, used by or referred to by the Company as such Underwriter may reasonably request. If at any time when a prospectus is required by the Securities Act to be delivered (whether physically or through compliance with Rule 172 under the Securities Act or any similar rule) in connection with sales of the Offered Shares (but in any event if at any time through and including the First Closing Date)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such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time, not misleading, as the case may be;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prior to amending or supplementing any such free writing prospectus, the Company shall furnish to the Representatives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Representatives’ prior written consent, which shall not be unreasonably withheld, conditioned or delayed.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i/>
          <w:caps w:val="false"/>
          <w:smallCaps w:val="false"/>
          <w:sz w:val="20"/>
        </w:rPr>
        <w:t>Filing of Underwriter Free Writing Prospectuses.</w:t>
      </w:r>
      <w:r>
        <w:rPr>
          <w:rFonts w:ascii="Times New Roman;Times;Serif" w:hAnsi="Times New Roman;Times;Serif"/>
          <w:b w:val="false"/>
          <w:i w:val="false"/>
          <w:caps w:val="false"/>
          <w:smallCaps w:val="false"/>
          <w:sz w:val="20"/>
        </w:rPr>
        <w:t xml:space="preserve"> The Company shall not take any action that would result in an Underwriter or the Company being required to file with the Commission pursuant to Rule 433(d) under the Securities Act a free writing prospectus prepared by or on behalf of such Underwriter that such Underwriter otherwise would not have been required to file thereunder.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i/>
          <w:caps w:val="false"/>
          <w:smallCaps w:val="false"/>
          <w:sz w:val="20"/>
        </w:rPr>
        <w:t>Amendments and Supplements to Time of Sale Prospectus.</w:t>
      </w:r>
      <w:r>
        <w:rPr>
          <w:rFonts w:ascii="Times New Roman;Times;Serif" w:hAnsi="Times New Roman;Times;Serif"/>
          <w:b w:val="false"/>
          <w:i w:val="false"/>
          <w:caps w:val="false"/>
          <w:smallCaps w:val="false"/>
          <w:sz w:val="20"/>
        </w:rPr>
        <w:t xml:space="preserve"> If the Time of Sale Prospectus is being used to solicit offers to buy the Offered Shares 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in the opinion of counsel for the Underwriters, it is necessary to amend or supplement the Time of Sale Prospectus to comply with applicable law, the Company shall (subject to Section 3(b) and Section 3(c)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applicable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i/>
          <w:caps w:val="false"/>
          <w:smallCaps w:val="false"/>
          <w:sz w:val="20"/>
        </w:rPr>
        <w:t>Certain Notifications and Required Actions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After the date of this Agreement and until one year from the date of this Agreement, the Company shall promptly advise the Representatives in writing of (which may be by electronic mail): (i) the receipt of any comments of, or requests for additional or supplemental information from, the Commission relating to the Registration Statement; (ii) the time and date of any filing of any post-effective amendment to the Registration Statement or any amendment or supplement to any preliminary prospectus, the Time of Sale Prospectus, any free writing prospectus or the Prospectus; (iii) the time and date that any post-effective amendment to the Registration Statement becomes effective; and (iv) the issuance by the Commission of any stop order suspending the effectiveness of the Registration Statement or any post-effective amendment thereto or any amendment or supplement to any preliminary prospectus, the Time of Sale Prospectus or the Prospectus or of any order preventing or suspending the use of any preliminary prospectus, the Time of Sale Prospectus, any free writing prospectus or the Prospectus, or, if the Company gains knowledge of such proceeding, of any proceedings to remove, suspend or terminate from listing or quotation the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reasonable best efforts to obtain the lifting of such order as soon as practicable. Additionally, the Company agrees that it shall comply with all applicable provisions of Rule 424(b), Rule 433 and Rule 430B under the Securities Act and will use its reasonable efforts to confirm that any filings made by the Company under Rule 424(b) or Rule 433 were received in a timely manner by the Commission.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w:t>
      </w:r>
      <w:r>
        <w:rPr>
          <w:rFonts w:ascii="Times New Roman;Times;Serif" w:hAnsi="Times New Roman;Times;Serif"/>
          <w:b/>
          <w:i/>
          <w:caps w:val="false"/>
          <w:smallCaps w:val="false"/>
          <w:sz w:val="20"/>
        </w:rPr>
        <w:t>Amendments and Supplements to the Prospectus and Other Securities Act Matters.</w:t>
      </w:r>
      <w:r>
        <w:rPr>
          <w:rFonts w:ascii="Times New Roman;Times;Serif" w:hAnsi="Times New Roman;Times;Serif"/>
          <w:b w:val="false"/>
          <w:i w:val="false"/>
          <w:caps w:val="false"/>
          <w:smallCaps w:val="false"/>
          <w:sz w:val="20"/>
        </w:rPr>
        <w:t xml:space="preserve">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if in the opinion of the Representatives or counsel for the Underwriters it is otherwise necessary to amend or supplement the Prospectus to comply with applicable law, the Company agrees (subject to Section 3(b) and Section 3(c)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applicable law. Neither the Representatives’ consent to, nor delivery of, any such amendment or supplement shall constitute a waiver of any of the Company’s obligations under Section 3(b) or Section 3(c).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w:t>
      </w:r>
      <w:r>
        <w:rPr>
          <w:rFonts w:ascii="Times New Roman;Times;Serif" w:hAnsi="Times New Roman;Times;Serif"/>
          <w:b/>
          <w:i/>
          <w:caps w:val="false"/>
          <w:smallCaps w:val="false"/>
          <w:sz w:val="20"/>
        </w:rPr>
        <w:t>Blue Sky Compliance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shall cooperate with the Representatives and counsel for the Underwriters to qualify or register the Offered Shares for sale under (or obtain exemptions from the application of) the state securities or blue sky laws or Canadian provincial securities laws (or other foreign laws) of those jurisdictions as may be reasonably designated by the Representatives, shall comply with such laws and shall continue such qualifications, registrations and exemptions in effect so long as required for the distribution of the Offered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Representatives promptly of the suspension of the qualification or registration of (or any such exemption relating to) the Offered Shares for offering, sale or trading in any jurisdiction or, if the Company gains knowledge of such proceeding, any initiation or threat of any proceeding for any such purpose, and in the event of the issuance of any order suspending such qualification, registration or exemption, the Company shall use its reasonable best efforts to obtain the withdrawal thereof as promptly as possible.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i/>
          <w:caps w:val="false"/>
          <w:smallCaps w:val="false"/>
          <w:sz w:val="20"/>
        </w:rPr>
        <w:t>Use of Proceeds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shall apply the net proceeds from the sale of the Offered Shares sold by it in all material respects in the manner described under the caption “Use of Proceeds” in the Registration Statement, the Time of Sale Prospectus and the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          </w:t>
      </w:r>
      <w:r>
        <w:rPr>
          <w:rFonts w:ascii="Times New Roman;Times;Serif" w:hAnsi="Times New Roman;Times;Serif"/>
          <w:b/>
          <w:i/>
          <w:caps w:val="false"/>
          <w:smallCaps w:val="false"/>
          <w:sz w:val="20"/>
        </w:rPr>
        <w:t>Transfer Agent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shall engage and maintain, at its expense, a registrar and transfer agent for the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        </w:t>
      </w:r>
      <w:r>
        <w:rPr>
          <w:rFonts w:ascii="Times New Roman;Times;Serif" w:hAnsi="Times New Roman;Times;Serif"/>
          <w:b/>
          <w:i/>
          <w:caps w:val="false"/>
          <w:smallCaps w:val="false"/>
          <w:sz w:val="20"/>
        </w:rPr>
        <w:t>Earnings Statement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will make generally available to its security holders and to the Representatives as soon as practicable an earnings statement (which need not be audited) covering a period of at least twelve months beginning with the first fiscal quarter of the Company commencing after the date of this Agreement that will satisfy the provisions of Section 11(a) of the Securities Act and the rules and regulations of the Commission thereunder; provided, however, that the requirements of this ‎Section 3(k) shall be satisfied to the extent that such information is available on EDGAR.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          </w:t>
      </w:r>
      <w:r>
        <w:rPr>
          <w:rFonts w:ascii="Times New Roman;Times;Serif" w:hAnsi="Times New Roman;Times;Serif"/>
          <w:b/>
          <w:i/>
          <w:caps w:val="false"/>
          <w:smallCaps w:val="false"/>
          <w:sz w:val="20"/>
        </w:rPr>
        <w:t>Continued Compliance with Securities Laws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will comply with the Securities Act and the Exchange Act so as to permit the completion of the distribution of the Offered Shares as contemplated by this Agreement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Registration Statement, the Time of Sale Prospectus and the Prospectus. Without limiting the generality of the foregoing, the Company will, during the period when a prospectus relating to the Offered Shares is required by the Securities Act to be delivered (whether physically or through compliance with Rule 172 under the Securities Act or any similar rule), file on a timely basis with the Commission and Nasdaq all reports and documents required to be filed under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        </w:t>
      </w:r>
      <w:r>
        <w:rPr>
          <w:rFonts w:ascii="Times New Roman;Times;Serif" w:hAnsi="Times New Roman;Times;Serif"/>
          <w:b/>
          <w:i/>
          <w:caps w:val="false"/>
          <w:smallCaps w:val="false"/>
          <w:sz w:val="20"/>
        </w:rPr>
        <w:t>Listing</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will use its reasonable best efforts to list, subject to notice of issuance, the Offered Shares on Nasdaq.</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         </w:t>
      </w:r>
      <w:r>
        <w:rPr>
          <w:rFonts w:ascii="Times New Roman;Times;Serif" w:hAnsi="Times New Roman;Times;Serif"/>
          <w:b/>
          <w:i/>
          <w:caps w:val="false"/>
          <w:smallCaps w:val="false"/>
          <w:sz w:val="20"/>
        </w:rPr>
        <w:t>Company to Provide Copy of the Prospectus in Form That May be Downloaded from the Internet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If requested by the Representatives, the Company shall cause to be prepared and delivered, at its expense, within one business day from the effective date of this Agreement, to the Representatives an “</w:t>
      </w:r>
      <w:r>
        <w:rPr>
          <w:rFonts w:ascii="Times New Roman;Times;Serif" w:hAnsi="Times New Roman;Times;Serif"/>
          <w:b/>
          <w:i w:val="false"/>
          <w:caps w:val="false"/>
          <w:smallCaps w:val="false"/>
          <w:sz w:val="20"/>
        </w:rPr>
        <w:t>electronic Prospectus</w:t>
      </w:r>
      <w:r>
        <w:rPr>
          <w:rFonts w:ascii="Times New Roman;Times;Serif" w:hAnsi="Times New Roman;Times;Serif"/>
          <w:b w:val="false"/>
          <w:i w:val="false"/>
          <w:caps w:val="false"/>
          <w:smallCaps w:val="false"/>
          <w:sz w:val="20"/>
        </w:rPr>
        <w:t>” to be used by the Underwriters in connection with the offering and sale of the Offered Shares. As used herein, the term “</w:t>
      </w:r>
      <w:r>
        <w:rPr>
          <w:rFonts w:ascii="Times New Roman;Times;Serif" w:hAnsi="Times New Roman;Times;Serif"/>
          <w:b/>
          <w:i w:val="false"/>
          <w:caps w:val="false"/>
          <w:smallCaps w:val="false"/>
          <w:sz w:val="20"/>
        </w:rPr>
        <w:t>electronic Prospectus</w:t>
      </w:r>
      <w:r>
        <w:rPr>
          <w:rFonts w:ascii="Times New Roman;Times;Serif" w:hAnsi="Times New Roman;Times;Serif"/>
          <w:b w:val="false"/>
          <w:i w:val="false"/>
          <w:caps w:val="false"/>
          <w:smallCaps w:val="false"/>
          <w:sz w:val="20"/>
        </w:rPr>
        <w:t>” means a form of Prospectus, and any amendment or supplement thereto, that meets each of the following conditions: (i) it shall be encoded in an electronic format, satisfactory to the Representatives, that may be transmitted electronically by the Representatives and the other Underwriters to offerees and purchasers of the Offered Shares; (ii) it shall disclose the same information as the paper Prospectus,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Jefferies, that will allow investors to store and have continuously ready access to the Prospectus at any future time, without charge to investors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the Company shall transmit or cause to be transmitted promptly, without charge, a paper copy of the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          </w:t>
      </w:r>
      <w:r>
        <w:rPr>
          <w:rFonts w:ascii="Times New Roman;Times;Serif" w:hAnsi="Times New Roman;Times;Serif"/>
          <w:b/>
          <w:i/>
          <w:caps w:val="false"/>
          <w:smallCaps w:val="false"/>
          <w:sz w:val="20"/>
        </w:rPr>
        <w:t>Agreement Not to Offer or Sell Additional Shares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During the period commencing on and including the date hereof and continuing through and including the 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the date of the Prospectus (such period, as extended as described below, being referred to herein as the “</w:t>
      </w:r>
      <w:r>
        <w:rPr>
          <w:rFonts w:ascii="Times New Roman;Times;Serif" w:hAnsi="Times New Roman;Times;Serif"/>
          <w:b/>
          <w:i w:val="false"/>
          <w:caps w:val="false"/>
          <w:smallCaps w:val="false"/>
          <w:sz w:val="20"/>
        </w:rPr>
        <w:t>Lock-up Period</w:t>
      </w:r>
      <w:r>
        <w:rPr>
          <w:rFonts w:ascii="Times New Roman;Times;Serif" w:hAnsi="Times New Roman;Times;Serif"/>
          <w:b w:val="false"/>
          <w:i w:val="false"/>
          <w:caps w:val="false"/>
          <w:smallCaps w:val="false"/>
          <w:sz w:val="20"/>
        </w:rPr>
        <w:t xml:space="preserve">”), the Company will not, without the prior written consent of the Representatives (which consent may be withheld in their sole discretion), directly or indirectly: (i) sell, offer to sell, contract to sell or lend any Shares or Related Securities (as defined below); (ii) effect any short sale, or establish or increase any “put equivalent position” (as defined in Rule 16a-1(h) under the Exchange Act) or liquidate or decrease any “call equivalent position” (as defined in Rule 16a-1(b) under the Exchange Act) of any Shares or Related Securities; (iii) pledge, hypothecate or grant any security interest in any Shares or Related Securities; (iv) in any other way transfer or dispose of any Shares or Related Securities; (v) enter into any swap, hedge or similar arrangement or agreement that transfers, in whole or in part, the economic risk of ownership of any Shares or Related Securities, regardless of whether any such transaction is to be settled in securities, in cash or otherwise; (vi) announce the offering of any Shares or Related Securities; (vii) submit or file any registration statement under the Securities Act in respect of any Shares or Related Securities (other than (A) as contemplated by this Agreement with respect to the Offered Shares and (B) with respect to a registration statement on Form S-8); (viii) effect a reverse stock split, recapitalization, share consolidation, reclassification or similar transaction affecting the outstanding Shares; or (ix) publicly announce the intention to do any of the foregoing;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Company may (A) effect the transactions contemplated hereby; (B) issue Shares or options to purchase Shares, or issue Shares upon exercise of options, pursuant to any stock option, stock bonus or other stock plan or arrangement described in the Registration Statement, the Time of Sale Prospectus and the Prospectus, but only if the holders of such Shares or options enter into a Lock-up Agreement with the Representatives substantially in the form of Exhibit A hereto for the remainder of the Lock-up Period; (C) effect sales pursuant to the Amended and Restated Sales Agreement, dated August 13, 2026, by and between the Company and TD Cowen or any replacement “at the market offering” program;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clause (C), no such sales may be made prior to the expiration of the Option Period unless the option granted to the several Underwriters in Section 2 has been exercised in full and all Optional Shares have been issued; (D) issue Shares in connection with the acquisition or license by the Company of the securities, business, property, technology or other assets of another person or business entity or pursuant to any employee benefit plan assumed by the Company in connection with any such merger or acquisition; or (E) issue Shares or Related Securities in connection with any merger, joint venture, strategic alliances, commercial relationship or other strategic or collaborative transactions;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immediately preceding clauses (D) and (E), (x) the aggregate number of Shares issued or underlying such Related Securities issued in connection with all such acquisitions and other transactions does not exceed 5% of the aggregate number of Shares outstanding, on a fully-diluted and exercised basis, immediately following the consummation of the offering of the Offered Shares pursuant to this Agreement and (y) the recipients of the Shares or Related Securities agree in writing to be bound by the same terms described in the Lock-up Agreement. For purposes of the foregoing, “</w:t>
      </w:r>
      <w:r>
        <w:rPr>
          <w:rFonts w:ascii="Times New Roman;Times;Serif" w:hAnsi="Times New Roman;Times;Serif"/>
          <w:b/>
          <w:i w:val="false"/>
          <w:caps w:val="false"/>
          <w:smallCaps w:val="false"/>
          <w:sz w:val="20"/>
        </w:rPr>
        <w:t>Related Securities</w:t>
      </w:r>
      <w:r>
        <w:rPr>
          <w:rFonts w:ascii="Times New Roman;Times;Serif" w:hAnsi="Times New Roman;Times;Serif"/>
          <w:b w:val="false"/>
          <w:i w:val="false"/>
          <w:caps w:val="false"/>
          <w:smallCaps w:val="false"/>
          <w:sz w:val="20"/>
        </w:rPr>
        <w:t>” shall mean any options or warrants or other rights to acquire Shares or any securities exchangeable or exercisable for or convertible into Shares, or to acquire other securities or rights ultimately exchangeable or exercisable for, or convertible into,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         </w:t>
      </w:r>
      <w:r>
        <w:rPr>
          <w:rFonts w:ascii="Times New Roman;Times;Serif" w:hAnsi="Times New Roman;Times;Serif"/>
          <w:b/>
          <w:i/>
          <w:caps w:val="false"/>
          <w:smallCaps w:val="false"/>
          <w:sz w:val="20"/>
        </w:rPr>
        <w:t>Future Reports to the Representatives.</w:t>
      </w:r>
      <w:r>
        <w:rPr>
          <w:rFonts w:ascii="Times New Roman;Times;Serif" w:hAnsi="Times New Roman;Times;Serif"/>
          <w:b w:val="false"/>
          <w:i w:val="false"/>
          <w:caps w:val="false"/>
          <w:smallCaps w:val="false"/>
          <w:sz w:val="20"/>
        </w:rPr>
        <w:t xml:space="preserve"> During the period of five years hereafter, the Company will furnish to the Representatives, c/o Jefferies, at 520 Madison Avenue, New York, New York 10022, Attention: Global Head of Syndicate: (i) as soon as practicable after the end of each fiscal year, copies of the Annual Report of the Company containing the balance sheet of the Company as of the close of such fiscal year and statements of income, stockholders’ equity and cash flows for the year then ended and the opinion thereon of the Company’s independent public or certified public accountants; (ii) as soon as practicable after the filing thereof, copies of each proxy statement, Annual Report on Form 10-K, Quarterly Report on Form 10-Q, Current Report on Form 8-K or other report filed by the Company with the Commission, FINRA or any securities exchange; and (iii) as soon as available, copies of any report or communication of the Company furnished or made available generally to holders of its capital stock;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requirements of this Section 3(p) shall be satisfied to the extent that such reports, statement, communications, financial statements or other documents are available on EDGAR.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(q)         </w:t>
      </w:r>
      <w:r>
        <w:rPr>
          <w:rFonts w:ascii="Times New Roman;Times;Serif" w:hAnsi="Times New Roman;Times;Serif"/>
          <w:b/>
          <w:i/>
          <w:caps w:val="false"/>
          <w:smallCaps w:val="false"/>
          <w:sz w:val="20"/>
        </w:rPr>
        <w:t>Investment Limitation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shall not invest or otherwise use the proceeds received by the Company from its sale of the Offered Shares in such a manner as would require the Company or any of its subsidiaries to register as an “investment company” under the Investment Company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         </w:t>
      </w:r>
      <w:r>
        <w:rPr>
          <w:rFonts w:ascii="Times New Roman;Times;Serif" w:hAnsi="Times New Roman;Times;Serif"/>
          <w:b/>
          <w:i/>
          <w:caps w:val="false"/>
          <w:smallCaps w:val="false"/>
          <w:sz w:val="20"/>
        </w:rPr>
        <w:t>No Stabilization or Manipulation; Compliance with Regulation M</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will not take, and will ensure that no affiliate of the Company will take, directly or indirectly, without giving effect to activities by the Underwriters, any action designed to or that might cause or result in stabilization or manipulation of the price of the Shares or any reference security with respect to the Shares, whether to facilitate the sale or resale of the Offered Shares or otherwise, and the Company will, and shall cause each of its affiliates to, comply with all applicable provisions of Regulation 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         </w:t>
      </w:r>
      <w:r>
        <w:rPr>
          <w:rFonts w:ascii="Times New Roman;Times;Serif" w:hAnsi="Times New Roman;Times;Serif"/>
          <w:b/>
          <w:i/>
          <w:caps w:val="false"/>
          <w:smallCaps w:val="false"/>
          <w:sz w:val="20"/>
        </w:rPr>
        <w:t>Enforce Lock-Up Agreements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During the Lock-up Period, the Company will enforce all agreements between the Company and any of its securityholders that restrict or prohibit, expressly or in operation, the offer, sale or transfer of Shares or Related Securities or any of the other actions restricted or prohibited under the terms of the form of Lock-up Agreement. In addition, the Company will direct the transfer agent to place stop transfer restrictions upon any such securities of the Company that are bound by such “lock-up” agreements for the duration of the periods contemplated in such agreements, including, without limitation, “lock-up” agreements entered into by the Company’s officers and directors pursuant to ‎Section 6(i)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          </w:t>
      </w:r>
      <w:r>
        <w:rPr>
          <w:rFonts w:ascii="Times New Roman;Times;Serif" w:hAnsi="Times New Roman;Times;Serif"/>
          <w:b/>
          <w:i/>
          <w:caps w:val="false"/>
          <w:smallCaps w:val="false"/>
          <w:sz w:val="20"/>
        </w:rPr>
        <w:t>Company to Provide Interim Financial Statements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Prior to the First Closing Date and each applicable Option Closing Date, the Company will furnish the Underwriters, as soon as they have been prepared by or are available to the Company, a copy of any unaudited interim financial statements of the Company for any period subsequent to the period covered by the most recent financial statements appearing in the Registration Statement and the Prospectus; provided, however, that the requirements of this ‎Section 3(t) shall be deemed satisfied to the extent such financial statements are available on EDGAR.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           Payment of Expenses.</w:t>
      </w:r>
      <w:r>
        <w:rPr>
          <w:rFonts w:ascii="Times New Roman;Times;Serif" w:hAnsi="Times New Roman;Times;Serif"/>
          <w:b w:val="false"/>
          <w:i w:val="false"/>
          <w:caps w:val="false"/>
          <w:smallCaps w:val="false"/>
          <w:sz w:val="20"/>
        </w:rPr>
        <w:t xml:space="preserve"> The Company agrees to pay all costs, fees and expenses incurred in connection with the performance of its obligations hereunder and in connection with the transactions contemplated hereby, including without limitation (i) all expenses incident to the issuance and delivery of the Offered Shares (including all printing and engraving costs), (ii) all fees and expenses of the registrar and transfer agent of the Shares, (iii) all necessary issue, transfer and other stamp taxes in connection with the issuance and sale of the Offered Shares to the Underwriters,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Time of Sale Prospectus, the Prospectus, each free writing prospectus prepared by or on behalf of, used by, or referred to by the Company, and each preliminary prospectus, and all amendments and supplements thereto, and this Agreement, (vi) all filing fees, attorneys’ fees and expenses incurred by the Company or documented attorney’s fees and out-of-pocket expenses incurred by the Underwriters in connection with qualifying or registering (or obtaining exemptions from the qualification or registration of) all or any part of the Offered Shares for offer and sale under the state securities or blue sky laws or the provincial securities laws of Canada, and, if requested by the Representatives, preparing and printing a “Blue Sky Survey” or memorandum and a “Canadian wrapper”, and any supplements thereto, advising the Underwriters of such qualifications, registrations and exemptions, (vii) the costs, fees and expenses incurred by the Underwriters in connection with determining their compliance with the rules and regulations of FINRA related to the Underwriters’ participation in the offering and distribution of the Offered Shares, including any related filing fees and the legal fees of, and disbursements by, counsel to the Underwriters, provided that the fees and expenses under the subsection (vi) above and this subsection (vii) shall not exceed $40,000 in the aggregate, (viii) the costs and expenses of the Company relating to investor presentations on any “road show”,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any such consultants, and the cost of any aircraft chartered in connection with the road show, provided, however, that the Underwriters and the Company agree that the cost of any such chartered aircraft shall be borne 50% by the Company and 50% by the Underwriters, (ix) the fees and expenses associated with listing the Offered Shares on Nasdaq, and (x) all other fees, costs and expenses of the nature referred to in Item 14 of Part II of the Registration Statement. Except as provided in this ‎Section 4 or in ‎Section 7, ‎Section 9 or ‎Section 10 hereof, the Underwriters shall pay their own expenses, including the fees and disbursements of their counsel.</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           Covenant of the Underwriters.</w:t>
      </w:r>
      <w:r>
        <w:rPr>
          <w:rFonts w:ascii="Times New Roman;Times;Serif" w:hAnsi="Times New Roman;Times;Serif"/>
          <w:b w:val="false"/>
          <w:i w:val="false"/>
          <w:caps w:val="false"/>
          <w:smallCaps w:val="false"/>
          <w:sz w:val="20"/>
        </w:rPr>
        <w:t xml:space="preserve"> Each Underwriter severally and not jointly covenants with the Company not to take any action that would result in the Company being required to file with the Commission pursuant to Rule 433(d) under the Securities Act a free writing prospectus prepared by or on behalf of such Underwriter that otherwise would not, but for such actions, be required to be filed by the Company under Rule 433(d).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           Conditions of the Obligations of the Underwriters.</w:t>
      </w:r>
      <w:r>
        <w:rPr>
          <w:rFonts w:ascii="Times New Roman;Times;Serif" w:hAnsi="Times New Roman;Times;Serif"/>
          <w:b w:val="false"/>
          <w:i w:val="false"/>
          <w:caps w:val="false"/>
          <w:smallCaps w:val="false"/>
          <w:sz w:val="20"/>
        </w:rPr>
        <w:t xml:space="preserve"> The respective obligations of the several Underwriters hereunder to purchase and pay for the Offered Shares as provided herein on the First Closing Date and, with respect to the Optional Shares, each Option Closing Date, shall be subject to the accuracy of the representations and warranties on the part of the Company set forth in ‎Section 1 hereof as of the date hereof and as of the First Closing Date as though then made and, with respect to the Optional Shares, as of each Option Closing Date as though then made, to the timely performance by the Company of its covenants and other obligations hereunder, and to each of the following additional conditions: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i/>
          <w:caps w:val="false"/>
          <w:smallCaps w:val="false"/>
          <w:sz w:val="20"/>
        </w:rPr>
        <w:t>Comfort Letter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On the date hereof, the Representatives shall have received from Baker Tilly, independent registered public accountants for the Company, a letter dated the date hereof addressed to the Underwriters, in form and substance satisfactory to the Representatives,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the Time of Sale Prospectus, and each free writing prospectus, if 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i/>
          <w:caps w:val="false"/>
          <w:smallCaps w:val="false"/>
          <w:sz w:val="20"/>
        </w:rPr>
        <w:t xml:space="preserve">Compliance with Registration Requirements; No Stop Order; No Objection from FINRA. </w:t>
      </w:r>
      <w:r>
        <w:rPr>
          <w:rFonts w:ascii="Times New Roman;Times;Serif" w:hAnsi="Times New Roman;Times;Serif"/>
          <w:b w:val="false"/>
          <w:i w:val="false"/>
          <w:caps w:val="false"/>
          <w:smallCaps w:val="false"/>
          <w:sz w:val="20"/>
        </w:rPr>
        <w:t>For the period from and after the date of this Agreement and through and including the First Closing Date and, with respect to any Optional Shares purchased after the First Closing Date, each Option Closing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have filed the Prospectus with the Commission (including the information previously omitted from the Registration Statement pursuant to Rule 430B under the Securities Act) in the manner and within the time period required by Rule 424(b) under the Securities Act.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stop order suspending the effectiveness of the Registration Statement or any post-effective amendment to the Registration Statement shall be in effect, and no proceedings for such purpose shall have been instituted or threatened by the Commission.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a filing has been made with FINRA, FINRA shall have raised no objection to the fairness and reasonableness of the underwriting terms and arrangements.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i/>
          <w:caps w:val="false"/>
          <w:smallCaps w:val="false"/>
          <w:sz w:val="20"/>
        </w:rPr>
        <w:t>No Material Adverse Change or Ratings Agency Change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For the period from and after the date of this Agreement and through and including the First Closing Date and, with respect to any Optional Shares purchased after the First Closing Date, each Option Closing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judgment of the Representatives there shall not have occurred any Material Adverse Change;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that term is used in Rule 15c3-1(c)(2)(vi)(F) under the Exchange Act.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i/>
          <w:caps w:val="false"/>
          <w:smallCaps w:val="false"/>
          <w:sz w:val="20"/>
        </w:rPr>
        <w:t>Opinion of Counsel for the Company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On each of the First Closing Date and each Option Closing Date the Representatives shall have received the opinion and negative assurance letter of Gibson, Dunn &amp; Crutcher LLP, counsel for the Company, dated as of such date, in form and substance reasonably satisfactory to the Representatives.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i/>
          <w:caps w:val="false"/>
          <w:smallCaps w:val="false"/>
          <w:sz w:val="20"/>
        </w:rPr>
        <w:t>Opinion of Intellectual Property Counsel for the Company.</w:t>
      </w:r>
      <w:r>
        <w:rPr>
          <w:rFonts w:ascii="Times New Roman;Times;Serif" w:hAnsi="Times New Roman;Times;Serif"/>
          <w:b w:val="false"/>
          <w:i w:val="false"/>
          <w:caps w:val="false"/>
          <w:smallCaps w:val="false"/>
          <w:sz w:val="20"/>
        </w:rPr>
        <w:t xml:space="preserve"> On each of the First Closing Date and each Option Closing Date, the Representatives shall have received the opinion of Wilson Sonsini Goodrich &amp; Rosati, Professional Corporation, counsel for the Company with respect to certain intellectual property matters, dated as of such date, in form and substance reasonably satisfactory to the Representatives.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i/>
          <w:caps w:val="false"/>
          <w:smallCaps w:val="false"/>
          <w:sz w:val="20"/>
        </w:rPr>
        <w:t>Opinion of Counsel for the Underwriters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On each of the First Closing Date and each Option Closing Date the Representatives shall have received the opinion and negative assurance letter of Latham &amp; Watkins LLP, counsel for the Underwriters in connection with the offer and sale of the Offered Shares, in form and substance satisfactory to the Underwriters, dated as of such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w:t>
      </w:r>
      <w:r>
        <w:rPr>
          <w:rFonts w:ascii="Times New Roman;Times;Serif" w:hAnsi="Times New Roman;Times;Serif"/>
          <w:b/>
          <w:i/>
          <w:caps w:val="false"/>
          <w:smallCaps w:val="false"/>
          <w:sz w:val="20"/>
        </w:rPr>
        <w:t>Officers’ Certificate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On each of the First Closing Date and each Option Closing Date, the Representatives shall have received a certificate executed by the Chief Executive Officer or President of the Company and the Chief Financial Officer of the Company, dated as of such date, to the effect set forth in ‎Section 6(b)(ii) and further to the effect that: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 the period from and including the date of this Agreement through and including such date, there has not occurred any Material Adverse Change;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representations, warranties and covenants of the Company set forth in Section 1 of this Agreement are true and correct with the same force and effect as though expressly made on and as of such date;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has complied with all the agreements hereunder and satisfied all the conditions on its part to be performed or satisfied hereunder at or prior to such date.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w:t>
      </w:r>
      <w:r>
        <w:rPr>
          <w:rFonts w:ascii="Times New Roman;Times;Serif" w:hAnsi="Times New Roman;Times;Serif"/>
          <w:b/>
          <w:i/>
          <w:caps w:val="false"/>
          <w:smallCaps w:val="false"/>
          <w:sz w:val="20"/>
        </w:rPr>
        <w:t>Bring-down Comfort Letter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On each of the First Closing Date and each Option Closing Date the Representatives shall have received from Baker Tilly, independent registered public accountants for the Company, a letter dated such date, in form and substance satisfactory to the Representatives, which letter shall: (i) reaffirm the statements made in the letter furnished by them pursuant to ‎Section 6(a), except that the specified date referred to therein for the carrying out of procedures shall be no more than three business days prior to the First Closing Date or the applicable Option Closing Date, as the case may be; and (ii) cover certain financial information contained in the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i/>
          <w:caps w:val="false"/>
          <w:smallCaps w:val="false"/>
          <w:sz w:val="20"/>
        </w:rPr>
        <w:t>Lock-Up Agreements.</w:t>
      </w:r>
      <w:r>
        <w:rPr>
          <w:rFonts w:ascii="Times New Roman;Times;Serif" w:hAnsi="Times New Roman;Times;Serif"/>
          <w:b w:val="false"/>
          <w:i w:val="false"/>
          <w:caps w:val="false"/>
          <w:smallCaps w:val="false"/>
          <w:sz w:val="20"/>
        </w:rPr>
        <w:t xml:space="preserve"> On or prior to the date hereof, the Company shall have furnished to the Representatives an agreement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from each of the persons listed on Exhibit B hereto, and each such agreement shall be in full force and effect on each of the First Closing Date and each Option Closing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          </w:t>
      </w:r>
      <w:r>
        <w:rPr>
          <w:rFonts w:ascii="Times New Roman;Times;Serif" w:hAnsi="Times New Roman;Times;Serif"/>
          <w:b/>
          <w:i/>
          <w:caps w:val="false"/>
          <w:smallCaps w:val="false"/>
          <w:sz w:val="20"/>
        </w:rPr>
        <w:t>CFO Certificate</w:t>
      </w:r>
      <w:r>
        <w:rPr>
          <w:rFonts w:ascii="Times New Roman;Times;Serif" w:hAnsi="Times New Roman;Times;Serif"/>
          <w:b w:val="false"/>
          <w:i w:val="false"/>
          <w:caps w:val="false"/>
          <w:smallCaps w:val="false"/>
          <w:sz w:val="20"/>
        </w:rPr>
        <w:t>. On the date of this Agreement and on the First Closing Date or the applicable Option Closing Date, as the case may be, the Company shall have furnished to the Representatives a certificate, dated the respective dates of delivery thereof and addressed to the Underwriters, of its chief financial officer with respect to certain financial data contained in the Time of Sale Prospectus and the Prospectus, providing “management comfort” with respect to such information, in form and substance reasonably satisfactory to the Representatives.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         </w:t>
      </w:r>
      <w:r>
        <w:rPr>
          <w:rFonts w:ascii="Times New Roman;Times;Serif" w:hAnsi="Times New Roman;Times;Serif"/>
          <w:b/>
          <w:i/>
          <w:caps w:val="false"/>
          <w:smallCaps w:val="false"/>
          <w:sz w:val="20"/>
        </w:rPr>
        <w:t>Rule 462(b) Registration Statement</w:t>
      </w:r>
      <w:r>
        <w:rPr>
          <w:rFonts w:ascii="Times New Roman;Times;Serif" w:hAnsi="Times New Roman;Times;Serif"/>
          <w:b w:val="false"/>
          <w:i w:val="false"/>
          <w:caps w:val="false"/>
          <w:smallCaps w:val="false"/>
          <w:sz w:val="20"/>
        </w:rPr>
        <w:t>. In the event that a Rule 462(b) Registration Statement is filed in connection with the offering contemplated by this Agreement, such Rule 462(b) Registration Statement shall have been filed with the Commission on the date of this Agreement and shall have become effective automatically upon such filing.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          </w:t>
      </w:r>
      <w:r>
        <w:rPr>
          <w:rFonts w:ascii="Times New Roman;Times;Serif" w:hAnsi="Times New Roman;Times;Serif"/>
          <w:b/>
          <w:i/>
          <w:caps w:val="false"/>
          <w:smallCaps w:val="false"/>
          <w:sz w:val="20"/>
        </w:rPr>
        <w:t>Additional Documents</w:t>
      </w:r>
      <w:r>
        <w:rPr>
          <w:rFonts w:ascii="Times New Roman;Times;Serif" w:hAnsi="Times New Roman;Times;Serif"/>
          <w:b w:val="false"/>
          <w:i w:val="false"/>
          <w:caps w:val="false"/>
          <w:smallCaps w:val="false"/>
          <w:sz w:val="20"/>
        </w:rPr>
        <w:t>. On or before each of the First Closing Date and each Option Closing Date, the Representatives and counsel for the Underwriters shall have received such information, documents and opinions as they may reasonably request for the purposes of enabling them to pass upon the issuance and sale of the Offered Shares as contemplated herein, or in order to evidence the accuracy of any of the representations and warranties, or the satisfaction of any of the conditions or agreements, herein contained; and all proceedings taken by the Company in connection with the issuance and sale of the Offered Shares as contemplated herein and in connection with the other transactions contemplated by this Agreement shall be reasonably satisfactory in form and substance to the Representatives and counsel for the Underwriters.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condition specified in this ‎Section 6 is not satisfied when and as required to be satisfied (unless waived in writing by the Representatives), this Agreement may be terminated by the Representatives by notice from the Representatives to the Company at any time on or prior to the First Closing Date and, with respect to the Optional Shares, at any time on or prior to the applicable Option Closing Date, which termination shall be without liability on the part of any party to any other party, except that ‎Section 4, ‎Section 7, ‎Section 9 and ‎Section 10 shall at all times be effective and shall survive such termination.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           Reimbursement of Underwriters’ Expenses</w:t>
      </w:r>
      <w:r>
        <w:rPr>
          <w:rFonts w:ascii="Times New Roman;Times;Serif" w:hAnsi="Times New Roman;Times;Serif"/>
          <w:b w:val="false"/>
          <w:i w:val="false"/>
          <w:caps w:val="false"/>
          <w:smallCaps w:val="false"/>
          <w:sz w:val="20"/>
        </w:rPr>
        <w:t>. If this Agreement is terminated by the Representatives pursuant to ‎Section 6, ‎Section 11 or ‎Section 12, or if the sale to the Underwriters of the Offered Shares on the First Closing Date is not consummated because of any refusal, inability or failure on the part of the Company to perform any agreement herein or to comply with any provision hereof, the Company agrees to reimburse the Representatives and the other Underwriters (or such Underwriters as have terminated this Agreement with respect to themselves), severally, upon demand for all documented out-of-pocket expenses that shall have been reasonably incurred by the Representatives and the Underwriters in connection with the proposed purchase and the offering and sale of the Offered Shares, including, but not limited to, documented fees and disbursements of counsel, printing expenses, travel expenses, postage, facsimile and telephone charges. For the avoidance of doubt, it is understood that the Company will not pay or reimburse any costs, fees or expenses incurred by any Underwriter that defaults on its obligations to purchase the Offered Shares.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           Effectiveness of this Agreement</w:t>
      </w:r>
      <w:r>
        <w:rPr>
          <w:rFonts w:ascii="Times New Roman;Times;Serif" w:hAnsi="Times New Roman;Times;Serif"/>
          <w:b w:val="false"/>
          <w:i w:val="false"/>
          <w:caps w:val="false"/>
          <w:smallCaps w:val="false"/>
          <w:sz w:val="20"/>
        </w:rPr>
        <w:t>. This Agreement shall become effective upon the execution and delivery hereof by the parties hereto.</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           Indemnification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i/>
          <w:caps w:val="false"/>
          <w:smallCaps w:val="false"/>
          <w:sz w:val="20"/>
        </w:rPr>
        <w:t>Indemnification of the Underwriters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agrees to indemnify and hold harmless each Underwriter, its affiliates, directors, officers, 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the Securities Act, the Exchange Act, other federal or state statutory law or regulation, or the laws or regulations of foreign jurisdictions where Offered Shares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433(d) of the Securities Act, any Marketing Material or the Prospectus (or any amendment or supplement to the foregoing), or the omission or alleged omission to state therein a material fact necessary in order to make the statements, in the light of the circumstances under which they were made, not misleading; or (iii) any act or failure to act or any alleged act or failure to act by any Underwriter in connection with, or relating in any manner to, the Offered Shares or the offering contemplated hereby, and which is included as part of or referred to in any loss, claim, damage, liability or action arising out of or based upon any matter covered by clause (i) or (ii) above; and to reimburse each Underwriter and each such affiliate, director, officer, employee, agent and controlling person for any and all reasonable expenses (including the fees and disbursements of counsel) as such expenses are incurred by such Underwriter or such affiliate, director, officer, employee, agent or controlling person in connection with investigating, defending, settling, compromising or paying any such loss, claim, damage, liability, expense or action;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any Underwriter furnished to the Company by the Representatives in writing expressly for use in the Registration Statement, any preliminary prospectus, the Time of Sale Prospectus, any such free writing prospectus, any Marketing Material or the Prospectus (or any amendment or supplement thereto), it being understood and agreed that the only such information consists of the information described in ‎Section 9(b) below. The indemnity agreement set forth in this ‎Section 9(a) shall be in addition to any liabilities that the Company may otherwise have.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i/>
          <w:caps w:val="false"/>
          <w:smallCaps w:val="false"/>
          <w:sz w:val="20"/>
        </w:rPr>
        <w:t>Indemnification of the Company, its Directors and Officers</w:t>
      </w:r>
      <w:r>
        <w:rPr>
          <w:rFonts w:ascii="Times New Roman;Times;Serif" w:hAnsi="Times New Roman;Times;Serif"/>
          <w:b w:val="false"/>
          <w:i w:val="false"/>
          <w:caps w:val="false"/>
          <w:smallCaps w:val="false"/>
          <w:sz w:val="20"/>
        </w:rPr>
        <w:t xml:space="preserve">. Each Underwriter agrees, severally and not jointly,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 (i) any untrue statement or alleged untrue statement of a material fact contained in the Registration Statement, or any amendment thereto, or any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 of the Securities Act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such preliminary prospectus, the Time of Sale Prospectus, such free writing prospectus or the Prospectus (or any such amendment or supplement), in reliance upon and in conformity with information relating to such Underwriter furnished to the Company by the Representatives in writing expressly for use therein; and to reimburse the Company, or any such director, officer or controlling person for any and all expenses (including the fees and disbursements of counsel) as such expenses are incurred by the Company, or any such director, officer or controlling person in connection with investigating, defending, settling, compromising or paying any such loss, claim, damage, liability, expense or action. The Company hereby acknowledges that the only information that the Representatives have furnished to the Company expressly for use in the Registration Statement, any preliminary prospectus, the Time of Sale Prospectus, any free writing prospectus that the Company has filed, or is required to file, pursuant to Rule 433(d) of the Securities Act or the Prospectus (or any amendment or supplement to the foregoing) are the statements set forth in </w:t>
      </w:r>
      <w:r>
        <w:rPr>
          <w:rFonts w:ascii="Times New Roman;Times;Serif" w:hAnsi="Times New Roman;Times;Serif"/>
          <w:b/>
          <w:i w:val="false"/>
          <w:caps w:val="false"/>
          <w:smallCaps w:val="false"/>
          <w:sz w:val="20"/>
        </w:rPr>
        <w:t>t</w:t>
      </w:r>
      <w:r>
        <w:rPr>
          <w:rFonts w:ascii="Times New Roman;Times;Serif" w:hAnsi="Times New Roman;Times;Serif"/>
          <w:b w:val="false"/>
          <w:i w:val="false"/>
          <w:caps w:val="false"/>
          <w:smallCaps w:val="false"/>
          <w:sz w:val="20"/>
        </w:rPr>
        <w:t>he first sentence of the third paragraph under the caption “Underwriting”, the first sentence of the first paragraph under the caption “Underwriting—Commission and Expenses”, and the first sentence of the first paragraph under the caption “Underwriting—Stabilization”, in the Preliminary Prospectus Supplement and the Final Prospectus Supplement. The indemnity agreement set forth in this ‎Section 9(b) shall be in addition to any liabilities that each Underwriter may otherwise have.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i/>
          <w:caps w:val="false"/>
          <w:smallCaps w:val="false"/>
          <w:sz w:val="20"/>
        </w:rPr>
        <w:t>Notifications and Other Indemnification Procedures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Promptly after receipt by an indemnified party under this ‎Section 9 of notice of the commencement of any action, such indemnified party will, if a claim in respect thereof is to be made against an indemnifying party under this ‎Section 9, notify the indemnifying party in writing of the commencement thereof, but the omission to so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if the defendants in any such action include both the indemnified party and the indemnifying party and the indemnified party shall have reasonably concluded based on advice of counsel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to so assume the defense of such action and approval by the indemnified party of counsel, the indemnifying party will not be liable to such indemnified party under this ‎Section 9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Representatives (in the case of counsel for the indemnified parties referred to in Section 9(a) above) or by the Company (in the case of counsel for the indemnified parties referred to in ‎Section 9(b)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i/>
          <w:caps w:val="false"/>
          <w:smallCaps w:val="false"/>
          <w:sz w:val="20"/>
        </w:rPr>
        <w:t>Settlements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indemnifying party under this ‎Section 9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9(c) hereof, the indemnifying party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         Contribution</w:t>
      </w:r>
      <w:r>
        <w:rPr>
          <w:rFonts w:ascii="Times New Roman;Times;Serif" w:hAnsi="Times New Roman;Times;Serif"/>
          <w:b w:val="false"/>
          <w:i w:val="false"/>
          <w:caps w:val="false"/>
          <w:smallCaps w:val="false"/>
          <w:sz w:val="20"/>
        </w:rPr>
        <w:t>. If the indemnification provided for in ‎Section 9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of the Offered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which resulted in such losses, claims, damages, liabilities or expenses, as well as any other relevant equitable considerations. The relative benefits received by the Company, on the one hand, and the Underwriters, on the other hand, in connection with the offering of the Offered Shares pursuant to this Agreement shall be deemed to be in the same respective proportions as the total proceeds from the offering of the Offered Shares pursuant to this Agreement (before deducting expenses) received by the Company, and the total underwriting discounts and commissions received by the Underwriters, in each case as set forth on the front cover page of the Prospectus, bear to the aggregate initial public offering price of the Offered Shares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 paid or payable by a party as a result of the losses, claims, damages, liabilities and expenses referred to above shall be deemed to include, subject to the limitations set forth in ‎Section 9(c), any legal or other fees or expenses reasonably incurred by such party in connection with investigating or defending any action or claim. The provisions set forth in ‎Section 9(c) with respect to notice of commencement of any action shall apply if a claim for contribution is to be made under this ‎Section 10;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no additional notice shall be required with respect to any action for which notice has been given under ‎Section 9(c) for purposes of indemnification.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Underwriters agree that it would not be just and equitable if contribution pursuant to this ‎Section 10 were determined by pro rata allocation (even if the Underwriters were treated as one entity for such purpose) or by any other method of allocation which does not take account of the equitable considerations referred to in this ‎Section 10.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provisions of this ‎Section 10, no Underwriter shall be required to contribute any amount in excess of the underwriting discounts and commissions received by such Underwriter in connection with the Offered Shares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10 are several, and not joint, in proportion to their respective underwriting commitments as set forth opposite their respective names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For purposes of this ‎Section 10, each affiliate, director, officer, employee and agent of an Underwriter and each person, if any, who controls an Underwriter within the meaning of the Securities Act or the Exchange Act shall have the same rights to contribution as such Underwriter,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        Default of One or More of the Several Underwriters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If, on the First Closing Date or any Option Closing Date any one or more of the several Underwriters shall fail or refuse to purchase Offered Shares that it or they have agreed to purchase hereunder on such date, and the aggregate number of Offered Shares which such defaulting Underwriter or Underwriters agreed but failed or refused to purchase does not exceed 10% of the aggregate number of the Offered Shares to be purchased on such date, the Representatives may make arrangements satisfactory to the Company for the purchase of such Offered Shares by other persons, including any of the Underwriters, but if no such arrangements are made by such date, the other Underwriters shall be obligated, severally and not jointly, in the proportions that the number of Firm Shares set forth opposite their respective names on </w:t>
      </w:r>
      <w:r>
        <w:rPr>
          <w:rFonts w:ascii="Times New Roman;Times;Serif" w:hAnsi="Times New Roman;Times;Serif"/>
          <w:b w:val="false"/>
          <w:i w:val="false"/>
          <w:caps w:val="false"/>
          <w:smallCaps w:val="false"/>
          <w:sz w:val="20"/>
          <w:u w:val="single"/>
        </w:rPr>
        <w:t>Schedule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bears to the aggregate number of Firm Shares set forth opposite the names of all such non-defaulting Underwriters, or in such other proportions as may be specified by the Representatives with the consent of the non-defaulting Underwriters, to purchase the Offered Shares which such defaulting Underwriter or Underwriters agreed but failed or refused to purchase on such date. If, on the First Closing Date or any Option Closing Date any one or more of the Underwriters shall fail or refuse to purchase Offered Shares and the aggregate number of Offered Shares with respect to which such default occurs exceeds 10% of the aggregate number of Offered Shares to be purchased on such date, and arrangements satisfactory to the Representatives and the Company for the purchase of such Offered Shares are not made within 48 hours after such default, this Agreement shall terminate without liability of any party (other than the breaching Underwriter or Underwriters) to any other party except that the provisions of ‎Section 4, ‎Section 7, ‎Section 9 and ‎Section 10 shall at all times be effective and shall survive such termination. In any such case either the Representatives or the Company shall have the right to postpone the First Closing Date or the applicable Option Closing Date, as the case may be, but in no event for longer than seven days in order that the required changes, if any, to the Registration Statement and the Prospectus or any other documents or arrangements may be effected.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 the term “</w:t>
      </w:r>
      <w:r>
        <w:rPr>
          <w:rFonts w:ascii="Times New Roman;Times;Serif" w:hAnsi="Times New Roman;Times;Serif"/>
          <w:b/>
          <w:i w:val="false"/>
          <w:caps w:val="false"/>
          <w:smallCaps w:val="false"/>
          <w:sz w:val="20"/>
        </w:rPr>
        <w:t>Underwriter</w:t>
      </w:r>
      <w:r>
        <w:rPr>
          <w:rFonts w:ascii="Times New Roman;Times;Serif" w:hAnsi="Times New Roman;Times;Serif"/>
          <w:b w:val="false"/>
          <w:i w:val="false"/>
          <w:caps w:val="false"/>
          <w:smallCaps w:val="false"/>
          <w:sz w:val="20"/>
        </w:rPr>
        <w:t>” shall be deemed to include any person substituted for a defaulting Underwriter under this ‎Section 11. Any action taken under this ‎Section 11 shall not relieve any defaulting Underwriter from liability in respect of any default of such Underwriter under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         Termination of this Agreement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Prior to the purchase of the Firm Shares by the Underwriters on the First Closing Date, this Agreement may be terminated by the Representatives by notice given to the Company if at any time: (i) trading or quotation in any of the Company’s securities shall have been suspended or limited by the Commission or by Nasdaq, or trading in securities generally on either the NASDAQ or the NYSE shall have been suspended or limited, or minimum or maximum prices shall have been generally established on any of such stock exchanges; (ii) a general banking moratorium shall have been declared by any of federal, New York or Connecticut authorities;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Representatives is material and adverse and makes it impracticable to market the Offered Shares in the manner and on the terms described in the Time of Sale Prospectus or the Prospectus or to enforce contracts for the sale of securities; (iv) in the reasonable judgment of the Representatives there shall have occurred any Material Adverse Change; or (v) the Company shall have sustained a loss by strike, fire, flood, earthquake, accident or other calamity of such character as in the judgment of the Representatives may interfere materially with the conduct of the business and operations of the Company regardless of whether or not such loss shall have been insured. Any termination pursuant to this ‎Section 12 shall be without liability on the part of (a) the Company to any Underwriter, except that the Company shall be obligated to reimburse the expenses of the Representatives and the Underwriters pursuant to ‎Section 4 or ‎Section 7 hereof or (b) any Underwriter to the Company;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provisions of ‎Section 9 and ‎Section 10 shall at all times be effective and shall survive such termination.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13.         No Advisory or Fiduciary Relationship. </w:t>
      </w:r>
      <w:r>
        <w:rPr>
          <w:rFonts w:ascii="Times New Roman;Times;Serif" w:hAnsi="Times New Roman;Times;Serif"/>
          <w:b w:val="false"/>
          <w:i w:val="false"/>
          <w:caps w:val="false"/>
          <w:smallCaps w:val="false"/>
          <w:sz w:val="20"/>
        </w:rPr>
        <w:t>The Company acknowledges and agrees that (a) the purchase and sale of the Offered Shares pursuant to this Agreement, including the determination of the public offering price of the Offered Shares and any related discounts and commissions, is an arm’s-length commercial transaction between the Company, on the one hand, and the several Underwriters, on the other hand, and does not constitute a recommendation, investment advice, or solicitation of any action by the Underwriters, (b) in connection with the offering contemplated hereby and the process leading to such transaction, each Underwriter is and has been acting solely as a principal and is not the agent or fiduciary of the Company, or its stockholders,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(e) the Underwriters have not provided any legal, accounting, regulatory, investment or tax advice with respect to the offering contemplated hereby and the Company has consulted its own legal, accounting, regulatory and tax advisors to the extent it deemed appropriate, and (f) none of the activities of the Underwriters in connection with the transaction contemplated herein constitutes a recommendation, investment advice, or solicitation of any action by the Underwriters with respect to any entity or natural person.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14.         Representations and Indemnities to Survive Delivery</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respective indemnities, agreements, representations, warranties and other statements of the Company, of its officers and of the several Underwriters set forth in or made pursuant to this Agreement will remain in full force and effect, regardless of any investigation made by or on behalf of any Underwriter or the Company or any of its or their partners, officers or directors or any controlling person, as the case may be, and, anything herein to the contrary notwithstanding, will survive delivery of and payment for the Offered Shares sold hereunder and any termination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15.        Notices</w:t>
      </w:r>
      <w:r>
        <w:rPr>
          <w:rFonts w:ascii="Times New Roman;Times;Serif" w:hAnsi="Times New Roman;Times;Serif"/>
          <w:b w:val="false"/>
          <w:i w:val="false"/>
          <w:caps w:val="false"/>
          <w:smallCaps w:val="false"/>
          <w:sz w:val="20"/>
        </w:rPr>
        <w:t>. All communications hereunder shall be in writing and shall be mailed, hand delivered or telecopied and confirmed to the parties hereto as follows:</w:t>
      </w:r>
    </w:p>
    <w:p>
      <w:pPr>
        <w:pStyle w:val="TextBody"/>
        <w:bidi w:val="0"/>
        <w:spacing w:before="0" w:after="0"/>
        <w:ind w:left="0" w:right="0" w:firstLine="1440"/>
        <w:jc w:val="left"/>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2060"/>
        <w:gridCol w:w="7085"/>
      </w:tblGrid>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Representatives:</w:t>
            </w:r>
          </w:p>
        </w:tc>
        <w:tc>
          <w:tcPr>
            <w:tcW w:w="7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Jefferies LLC</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7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 Madison Avenue</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7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10022</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7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w:t>
            </w:r>
          </w:p>
        </w:tc>
      </w:tr>
      <w:tr>
        <w:trPr/>
        <w:tc>
          <w:tcPr>
            <w:tcW w:w="91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7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Securities (USA) LLC</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7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Vanderbilt Avenue</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7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7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Head of Equity Capital Markets, with a copy to CIBLegal@tdsecurities.com</w:t>
            </w:r>
          </w:p>
        </w:tc>
      </w:tr>
      <w:tr>
        <w:trPr/>
        <w:tc>
          <w:tcPr>
            <w:tcW w:w="91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7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Guggenheim Securities, LLC</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7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 Madison Avenue, 8th Floor</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7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7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Equity Syndicate Department</w:t>
            </w:r>
          </w:p>
        </w:tc>
      </w:tr>
      <w:tr>
        <w:trPr/>
        <w:tc>
          <w:tcPr>
            <w:tcW w:w="91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tc>
        <w:tc>
          <w:tcPr>
            <w:tcW w:w="7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Latham &amp; Watkins LLP</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7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12670 High Bluff Drive</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7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 California 92130</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7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Michael E. Sullivan</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7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michael.sullivan@lw.com</w:t>
            </w:r>
          </w:p>
        </w:tc>
      </w:tr>
      <w:tr>
        <w:trPr/>
        <w:tc>
          <w:tcPr>
            <w:tcW w:w="91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tc>
        <w:tc>
          <w:tcPr>
            <w:tcW w:w="7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 Bioscience, Inc.</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7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 James Street, Suite 007</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7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Haven, Connecticut 06513</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7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Rebecca Frey</w:t>
            </w:r>
          </w:p>
        </w:tc>
      </w:tr>
      <w:tr>
        <w:trPr/>
        <w:tc>
          <w:tcPr>
            <w:tcW w:w="91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tc>
        <w:tc>
          <w:tcPr>
            <w:tcW w:w="7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Gibson, Dunn &amp; Crutcher LLP</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7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Embarcadero Center, Suite 2600</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7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 94111</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7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Ryan A. Murr</w:t>
            </w:r>
          </w:p>
        </w:tc>
      </w:tr>
    </w:tbl>
    <w:p>
      <w:pPr>
        <w:pStyle w:val="TextBody"/>
        <w:bidi w:val="0"/>
        <w:spacing w:before="0" w:after="0"/>
        <w:ind w:left="3600" w:right="0" w:hanging="252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party hereto may change the address for receipt of communications by giving written notice to the others.</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16.         Successors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This Agreement will inure to the benefit of and be binding upon the parties hereto, including any substitute Underwriters pursuant to ‎Section 11 hereof, and to the benefit of the affiliates, directors, officers, employees, agents and controlling persons referred to in ‎Section 9 and ‎Section 10, and in each case their respective successors, and no other person will have any right or obligation hereunder. The term “</w:t>
      </w:r>
      <w:r>
        <w:rPr>
          <w:rFonts w:ascii="Times New Roman;Times;Serif" w:hAnsi="Times New Roman;Times;Serif"/>
          <w:b/>
          <w:i w:val="false"/>
          <w:caps w:val="false"/>
          <w:smallCaps w:val="false"/>
          <w:sz w:val="20"/>
        </w:rPr>
        <w:t>successors</w:t>
      </w:r>
      <w:r>
        <w:rPr>
          <w:rFonts w:ascii="Times New Roman;Times;Serif" w:hAnsi="Times New Roman;Times;Serif"/>
          <w:b w:val="false"/>
          <w:i w:val="false"/>
          <w:caps w:val="false"/>
          <w:smallCaps w:val="false"/>
          <w:sz w:val="20"/>
        </w:rPr>
        <w:t>” shall not include any purchaser of the Offered Shares as such from any of the Underwriters merely by reason of such purchase.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17.         Partial Unenforceability</w:t>
      </w:r>
      <w:r>
        <w:rPr>
          <w:rFonts w:ascii="Times New Roman;Times;Serif" w:hAnsi="Times New Roman;Times;Serif"/>
          <w:b w:val="false"/>
          <w:i w:val="false"/>
          <w:caps w:val="false"/>
          <w:smallCaps w:val="false"/>
          <w:sz w:val="20"/>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18.         Recognition of the U.S. Special Resolution Regimes.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(A) “</w:t>
      </w:r>
      <w:r>
        <w:rPr>
          <w:rFonts w:ascii="Times New Roman;Times;Serif" w:hAnsi="Times New Roman;Times;Serif"/>
          <w:b/>
          <w:i w:val="false"/>
          <w:caps w:val="false"/>
          <w:smallCaps w:val="false"/>
          <w:sz w:val="20"/>
        </w:rPr>
        <w:t>BHC Act Affiliate</w:t>
      </w:r>
      <w:r>
        <w:rPr>
          <w:rFonts w:ascii="Times New Roman;Times;Serif" w:hAnsi="Times New Roman;Times;Serif"/>
          <w:b w:val="false"/>
          <w:i w:val="false"/>
          <w:caps w:val="false"/>
          <w:smallCaps w:val="false"/>
          <w:sz w:val="20"/>
        </w:rPr>
        <w:t>” has the meaning assigned to the term “affiliate” in, and shall be interpreted in accordance with, 12 U.S.C. § 1841(k); (B) “</w:t>
      </w:r>
      <w:r>
        <w:rPr>
          <w:rFonts w:ascii="Times New Roman;Times;Serif" w:hAnsi="Times New Roman;Times;Serif"/>
          <w:b/>
          <w:i w:val="false"/>
          <w:caps w:val="false"/>
          <w:smallCaps w:val="false"/>
          <w:sz w:val="20"/>
        </w:rPr>
        <w:t>Covered Entity</w:t>
      </w:r>
      <w:r>
        <w:rPr>
          <w:rFonts w:ascii="Times New Roman;Times;Serif" w:hAnsi="Times New Roman;Times;Serif"/>
          <w:b w:val="false"/>
          <w:i w:val="false"/>
          <w:caps w:val="false"/>
          <w:smallCaps w:val="false"/>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Times;Serif" w:hAnsi="Times New Roman;Times;Serif"/>
          <w:b/>
          <w:i w:val="false"/>
          <w:caps w:val="false"/>
          <w:smallCaps w:val="false"/>
          <w:sz w:val="20"/>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 and (D) “</w:t>
      </w:r>
      <w:r>
        <w:rPr>
          <w:rFonts w:ascii="Times New Roman;Times;Serif" w:hAnsi="Times New Roman;Times;Serif"/>
          <w:b/>
          <w:i w:val="false"/>
          <w:caps w:val="false"/>
          <w:smallCaps w:val="false"/>
          <w:sz w:val="20"/>
        </w:rPr>
        <w:t>U.S. Special Resolution Regime</w:t>
      </w:r>
      <w:r>
        <w:rPr>
          <w:rFonts w:ascii="Times New Roman;Times;Serif" w:hAnsi="Times New Roman;Times;Serif"/>
          <w:b w:val="false"/>
          <w:i w:val="false"/>
          <w:caps w:val="false"/>
          <w:smallCaps w:val="false"/>
          <w:sz w:val="20"/>
        </w:rPr>
        <w:t>”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19.        Governing Law Provisions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Times;Serif" w:hAnsi="Times New Roman;Times;Serif"/>
          <w:b/>
          <w:i w:val="false"/>
          <w:caps w:val="false"/>
          <w:smallCaps w:val="false"/>
          <w:sz w:val="20"/>
        </w:rPr>
        <w:t>Specified Courts</w:t>
      </w:r>
      <w:r>
        <w:rPr>
          <w:rFonts w:ascii="Times New Roman;Times;Serif" w:hAnsi="Times New Roman;Times;Serif"/>
          <w:b w:val="false"/>
          <w:i w:val="false"/>
          <w:caps w:val="false"/>
          <w:smallCaps w:val="false"/>
          <w:sz w:val="20"/>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20.         </w:t>
      </w:r>
      <w:r>
        <w:rPr>
          <w:rFonts w:ascii="Times New Roman;Times;Serif" w:hAnsi="Times New Roman;Times;Serif"/>
          <w:b w:val="false"/>
          <w:i w:val="false"/>
          <w:caps w:val="false"/>
          <w:smallCaps w:val="false"/>
          <w:sz w:val="20"/>
        </w:rPr>
        <w:t>Waiver of Trial by Jury. The Company (on its behalf and, to the extent permitted by applicable law, on behalf of its stockholders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         General Provisions.</w:t>
      </w:r>
      <w:r>
        <w:rPr>
          <w:rFonts w:ascii="Times New Roman;Times;Serif" w:hAnsi="Times New Roman;Times;Serif"/>
          <w:b w:val="false"/>
          <w:i w:val="false"/>
          <w:caps w:val="false"/>
          <w:smallCaps w:val="false"/>
          <w:sz w:val="20"/>
        </w:rPr>
        <w:t xml:space="preserve">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This Agreement may not be amended or modified unless in writing by all of the parties hereto, and no condition herein (express or implied) may be waived unless waived in writing by each party whom the condition is meant to benefit; provided that the Representatives acting alone have the authority to waive the conditions set forth in Section 6. The section headings herein are for the convenience of the parties only and shall not affect the construction or interpretation of this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hereto acknowledges that it is a sophisticated business person who was adequately represented by counsel during negotiations regarding the provisions hereof, including, without limitation, the indemnification provisions of ‎Section 9 and the contribution provisions of ‎Section 10, and is fully informed regarding said provisions. Each of the parties hereto further acknowledges that the provisions of ‎Section 9 and ‎Section 10 hereof fairly allocate the risks in light of the ability of the parties to investigate the Company, its affairs and its business in order to assure that adequate disclosure has been made in the Registration Statement, any preliminary prospectus, the Time of Sale Prospectus, each free writing prospectus and the Prospectus (and any amendments and supplements to the foregoing), as contemplated by the Securities Act and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pStyle w:val="TextBody"/>
        <w:bidi w:val="0"/>
        <w:spacing w:before="0" w:after="0"/>
        <w:ind w:left="0" w:right="0" w:firstLine="720"/>
        <w:jc w:val="left"/>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75"/>
        <w:gridCol w:w="320"/>
        <w:gridCol w:w="2390"/>
      </w:tblGrid>
      <w:tr>
        <w:trPr/>
        <w:tc>
          <w:tcPr>
            <w:tcW w:w="75" w:type="dxa"/>
            <w:tcBorders/>
            <w:vAlign w:val="center"/>
          </w:tcPr>
          <w:p>
            <w:pPr>
              <w:pStyle w:val="TableContents"/>
              <w:bidi w:val="0"/>
              <w:spacing w:before="0" w:after="283"/>
              <w:jc w:val="left"/>
              <w:rPr/>
            </w:pPr>
            <w:r>
              <w:rPr/>
              <w:t> </w:t>
            </w:r>
          </w:p>
        </w:tc>
        <w:tc>
          <w:tcPr>
            <w:tcW w:w="27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27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71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YARROW BIOSCIENCE, INC.</w:t>
            </w:r>
          </w:p>
        </w:tc>
      </w:tr>
      <w:tr>
        <w:trPr/>
        <w:tc>
          <w:tcPr>
            <w:tcW w:w="75" w:type="dxa"/>
            <w:tcBorders/>
            <w:vAlign w:val="center"/>
          </w:tcPr>
          <w:p>
            <w:pPr>
              <w:pStyle w:val="TableContents"/>
              <w:bidi w:val="0"/>
              <w:spacing w:before="0" w:after="283"/>
              <w:jc w:val="left"/>
              <w:rPr/>
            </w:pPr>
            <w:r>
              <w:rPr/>
              <w:t> </w:t>
            </w:r>
          </w:p>
        </w:tc>
        <w:tc>
          <w:tcPr>
            <w:tcW w:w="27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Tyler Zeronda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Tyler Zeronda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Underwriting Agreement is hereby confirmed and accepted by the Representatives in New York, New York as of the date first above written.</w:t>
      </w:r>
    </w:p>
    <w:p>
      <w:pPr>
        <w:pStyle w:val="TextBody"/>
        <w:bidi w:val="0"/>
        <w:spacing w:before="0" w:after="0"/>
        <w:ind w:left="0" w:right="0" w:firstLine="18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JEFFERIES LLC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TD SECURITIES (USA) LLC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GUGGENHEIM SECURITIES,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individually and as Representatives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several Underwriters named in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attached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214" w:type="dxa"/>
        <w:jc w:val="left"/>
        <w:tblInd w:w="0" w:type="dxa"/>
        <w:tblLayout w:type="fixed"/>
        <w:tblCellMar>
          <w:top w:w="0" w:type="dxa"/>
          <w:left w:w="0" w:type="dxa"/>
          <w:bottom w:w="0" w:type="dxa"/>
          <w:right w:w="0" w:type="dxa"/>
        </w:tblCellMar>
      </w:tblPr>
      <w:tblGrid>
        <w:gridCol w:w="354"/>
        <w:gridCol w:w="2785"/>
        <w:gridCol w:w="75"/>
      </w:tblGrid>
      <w:tr>
        <w:trPr/>
        <w:tc>
          <w:tcPr>
            <w:tcW w:w="313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JEFFERIES LLC</w:t>
            </w:r>
          </w:p>
        </w:tc>
        <w:tc>
          <w:tcPr>
            <w:tcW w:w="75" w:type="dxa"/>
            <w:tcBorders/>
            <w:vAlign w:val="center"/>
          </w:tcPr>
          <w:p>
            <w:pPr>
              <w:pStyle w:val="TableContents"/>
              <w:bidi w:val="0"/>
              <w:spacing w:before="0" w:after="283"/>
              <w:jc w:val="left"/>
              <w:rPr/>
            </w:pPr>
            <w:r>
              <w:rPr/>
              <w:t> </w:t>
            </w:r>
          </w:p>
        </w:tc>
      </w:tr>
      <w:tr>
        <w:trPr/>
        <w:tc>
          <w:tcPr>
            <w:tcW w:w="313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Jack Fabbri</w:t>
            </w:r>
          </w:p>
        </w:tc>
        <w:tc>
          <w:tcPr>
            <w:tcW w:w="75" w:type="dxa"/>
            <w:tcBorders/>
            <w:vAlign w:val="center"/>
          </w:tcPr>
          <w:p>
            <w:pPr>
              <w:pStyle w:val="TableContents"/>
              <w:bidi w:val="0"/>
              <w:spacing w:before="0" w:after="283"/>
              <w:jc w:val="left"/>
              <w:rPr/>
            </w:pPr>
            <w:r>
              <w:rPr/>
              <w:t> </w:t>
            </w:r>
          </w:p>
        </w:tc>
      </w:tr>
      <w:tr>
        <w:trPr/>
        <w:tc>
          <w:tcPr>
            <w:tcW w:w="354" w:type="dxa"/>
            <w:tcBorders/>
            <w:vAlign w:val="center"/>
          </w:tcPr>
          <w:p>
            <w:pPr>
              <w:pStyle w:val="TableContents"/>
              <w:bidi w:val="0"/>
              <w:spacing w:before="0" w:after="283"/>
              <w:jc w:val="left"/>
              <w:rPr>
                <w:caps w:val="false"/>
                <w:smallCaps w:val="false"/>
              </w:rPr>
            </w:pPr>
            <w:r>
              <w:rPr>
                <w:caps w:val="false"/>
                <w:smallCaps w:val="false"/>
              </w:rPr>
              <w:t> </w:t>
            </w:r>
          </w:p>
        </w:tc>
        <w:tc>
          <w:tcPr>
            <w:tcW w:w="2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Jack Fabbri</w:t>
            </w:r>
          </w:p>
        </w:tc>
        <w:tc>
          <w:tcPr>
            <w:tcW w:w="75" w:type="dxa"/>
            <w:tcBorders/>
            <w:vAlign w:val="center"/>
          </w:tcPr>
          <w:p>
            <w:pPr>
              <w:pStyle w:val="TableContents"/>
              <w:bidi w:val="0"/>
              <w:spacing w:before="0" w:after="283"/>
              <w:jc w:val="left"/>
              <w:rPr/>
            </w:pPr>
            <w:r>
              <w:rPr/>
              <w:t> </w:t>
            </w:r>
          </w:p>
        </w:tc>
      </w:tr>
      <w:tr>
        <w:trPr/>
        <w:tc>
          <w:tcPr>
            <w:tcW w:w="354" w:type="dxa"/>
            <w:tcBorders/>
            <w:vAlign w:val="center"/>
          </w:tcPr>
          <w:p>
            <w:pPr>
              <w:pStyle w:val="TableContents"/>
              <w:bidi w:val="0"/>
              <w:spacing w:before="0" w:after="283"/>
              <w:jc w:val="left"/>
              <w:rPr>
                <w:caps w:val="false"/>
                <w:smallCaps w:val="false"/>
              </w:rPr>
            </w:pPr>
            <w:r>
              <w:rPr>
                <w:caps w:val="false"/>
                <w:smallCaps w:val="false"/>
              </w:rPr>
              <w:t> </w:t>
            </w:r>
          </w:p>
        </w:tc>
        <w:tc>
          <w:tcPr>
            <w:tcW w:w="2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Director</w:t>
            </w:r>
          </w:p>
        </w:tc>
        <w:tc>
          <w:tcPr>
            <w:tcW w:w="75" w:type="dxa"/>
            <w:tcBorders/>
            <w:vAlign w:val="center"/>
          </w:tcPr>
          <w:p>
            <w:pPr>
              <w:pStyle w:val="TableContents"/>
              <w:bidi w:val="0"/>
              <w:spacing w:before="0" w:after="283"/>
              <w:jc w:val="left"/>
              <w:rPr/>
            </w:pPr>
            <w:r>
              <w:rPr/>
              <w:t> </w:t>
            </w:r>
          </w:p>
        </w:tc>
      </w:tr>
      <w:tr>
        <w:trPr/>
        <w:tc>
          <w:tcPr>
            <w:tcW w:w="313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13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TD SECURITIES (USA) LLC</w:t>
            </w:r>
          </w:p>
        </w:tc>
        <w:tc>
          <w:tcPr>
            <w:tcW w:w="75" w:type="dxa"/>
            <w:tcBorders/>
            <w:vAlign w:val="center"/>
          </w:tcPr>
          <w:p>
            <w:pPr>
              <w:pStyle w:val="TableContents"/>
              <w:bidi w:val="0"/>
              <w:spacing w:before="0" w:after="283"/>
              <w:jc w:val="left"/>
              <w:rPr/>
            </w:pPr>
            <w:r>
              <w:rPr/>
              <w:t> </w:t>
            </w:r>
          </w:p>
        </w:tc>
      </w:tr>
      <w:tr>
        <w:trPr/>
        <w:tc>
          <w:tcPr>
            <w:tcW w:w="313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Mariel Healy</w:t>
            </w:r>
          </w:p>
        </w:tc>
        <w:tc>
          <w:tcPr>
            <w:tcW w:w="75" w:type="dxa"/>
            <w:tcBorders/>
            <w:vAlign w:val="center"/>
          </w:tcPr>
          <w:p>
            <w:pPr>
              <w:pStyle w:val="TableContents"/>
              <w:bidi w:val="0"/>
              <w:spacing w:before="0" w:after="283"/>
              <w:jc w:val="left"/>
              <w:rPr/>
            </w:pPr>
            <w:r>
              <w:rPr/>
              <w:t> </w:t>
            </w:r>
          </w:p>
        </w:tc>
      </w:tr>
      <w:tr>
        <w:trPr/>
        <w:tc>
          <w:tcPr>
            <w:tcW w:w="354" w:type="dxa"/>
            <w:tcBorders/>
            <w:vAlign w:val="center"/>
          </w:tcPr>
          <w:p>
            <w:pPr>
              <w:pStyle w:val="TableContents"/>
              <w:bidi w:val="0"/>
              <w:spacing w:before="0" w:after="283"/>
              <w:jc w:val="left"/>
              <w:rPr>
                <w:caps w:val="false"/>
                <w:smallCaps w:val="false"/>
              </w:rPr>
            </w:pPr>
            <w:r>
              <w:rPr>
                <w:caps w:val="false"/>
                <w:smallCaps w:val="false"/>
              </w:rPr>
              <w:t> </w:t>
            </w:r>
          </w:p>
        </w:tc>
        <w:tc>
          <w:tcPr>
            <w:tcW w:w="2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Mariel Healy</w:t>
            </w:r>
          </w:p>
        </w:tc>
        <w:tc>
          <w:tcPr>
            <w:tcW w:w="75" w:type="dxa"/>
            <w:tcBorders/>
            <w:vAlign w:val="center"/>
          </w:tcPr>
          <w:p>
            <w:pPr>
              <w:pStyle w:val="TableContents"/>
              <w:bidi w:val="0"/>
              <w:spacing w:before="0" w:after="283"/>
              <w:jc w:val="left"/>
              <w:rPr/>
            </w:pPr>
            <w:r>
              <w:rPr/>
              <w:t> </w:t>
            </w:r>
          </w:p>
        </w:tc>
      </w:tr>
      <w:tr>
        <w:trPr/>
        <w:tc>
          <w:tcPr>
            <w:tcW w:w="354" w:type="dxa"/>
            <w:tcBorders/>
            <w:vAlign w:val="center"/>
          </w:tcPr>
          <w:p>
            <w:pPr>
              <w:pStyle w:val="TableContents"/>
              <w:bidi w:val="0"/>
              <w:spacing w:before="0" w:after="283"/>
              <w:jc w:val="left"/>
              <w:rPr>
                <w:caps w:val="false"/>
                <w:smallCaps w:val="false"/>
              </w:rPr>
            </w:pPr>
            <w:r>
              <w:rPr>
                <w:caps w:val="false"/>
                <w:smallCaps w:val="false"/>
              </w:rPr>
              <w:t> </w:t>
            </w:r>
          </w:p>
        </w:tc>
        <w:tc>
          <w:tcPr>
            <w:tcW w:w="2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Director</w:t>
            </w:r>
          </w:p>
        </w:tc>
        <w:tc>
          <w:tcPr>
            <w:tcW w:w="75" w:type="dxa"/>
            <w:tcBorders/>
            <w:vAlign w:val="center"/>
          </w:tcPr>
          <w:p>
            <w:pPr>
              <w:pStyle w:val="TableContents"/>
              <w:bidi w:val="0"/>
              <w:spacing w:before="0" w:after="283"/>
              <w:jc w:val="left"/>
              <w:rPr/>
            </w:pPr>
            <w:r>
              <w:rPr/>
              <w:t> </w:t>
            </w:r>
          </w:p>
        </w:tc>
      </w:tr>
      <w:tr>
        <w:trPr/>
        <w:tc>
          <w:tcPr>
            <w:tcW w:w="313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13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GUGGENHEIM SECURITIES, LLC</w:t>
            </w:r>
          </w:p>
        </w:tc>
        <w:tc>
          <w:tcPr>
            <w:tcW w:w="75" w:type="dxa"/>
            <w:tcBorders/>
            <w:vAlign w:val="center"/>
          </w:tcPr>
          <w:p>
            <w:pPr>
              <w:pStyle w:val="TableContents"/>
              <w:bidi w:val="0"/>
              <w:spacing w:before="0" w:after="283"/>
              <w:jc w:val="left"/>
              <w:rPr/>
            </w:pPr>
            <w:r>
              <w:rPr/>
              <w:t> </w:t>
            </w:r>
          </w:p>
        </w:tc>
      </w:tr>
      <w:tr>
        <w:trPr/>
        <w:tc>
          <w:tcPr>
            <w:tcW w:w="313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Shiv Taylor, MD</w:t>
            </w:r>
          </w:p>
        </w:tc>
        <w:tc>
          <w:tcPr>
            <w:tcW w:w="75" w:type="dxa"/>
            <w:tcBorders/>
            <w:vAlign w:val="center"/>
          </w:tcPr>
          <w:p>
            <w:pPr>
              <w:pStyle w:val="TableContents"/>
              <w:bidi w:val="0"/>
              <w:spacing w:before="0" w:after="283"/>
              <w:jc w:val="left"/>
              <w:rPr/>
            </w:pPr>
            <w:r>
              <w:rPr/>
              <w:t> </w:t>
            </w:r>
          </w:p>
        </w:tc>
      </w:tr>
      <w:tr>
        <w:trPr/>
        <w:tc>
          <w:tcPr>
            <w:tcW w:w="354" w:type="dxa"/>
            <w:tcBorders/>
            <w:vAlign w:val="center"/>
          </w:tcPr>
          <w:p>
            <w:pPr>
              <w:pStyle w:val="TableContents"/>
              <w:bidi w:val="0"/>
              <w:spacing w:before="0" w:after="283"/>
              <w:jc w:val="left"/>
              <w:rPr>
                <w:caps w:val="false"/>
                <w:smallCaps w:val="false"/>
              </w:rPr>
            </w:pPr>
            <w:r>
              <w:rPr>
                <w:caps w:val="false"/>
                <w:smallCaps w:val="false"/>
              </w:rPr>
              <w:t> </w:t>
            </w:r>
          </w:p>
        </w:tc>
        <w:tc>
          <w:tcPr>
            <w:tcW w:w="2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Shiv Taylor, MD</w:t>
            </w:r>
          </w:p>
        </w:tc>
        <w:tc>
          <w:tcPr>
            <w:tcW w:w="75" w:type="dxa"/>
            <w:tcBorders/>
            <w:vAlign w:val="center"/>
          </w:tcPr>
          <w:p>
            <w:pPr>
              <w:pStyle w:val="TableContents"/>
              <w:bidi w:val="0"/>
              <w:spacing w:before="0" w:after="283"/>
              <w:jc w:val="left"/>
              <w:rPr/>
            </w:pPr>
            <w:r>
              <w:rPr/>
              <w:t> </w:t>
            </w:r>
          </w:p>
        </w:tc>
      </w:tr>
      <w:tr>
        <w:trPr/>
        <w:tc>
          <w:tcPr>
            <w:tcW w:w="354" w:type="dxa"/>
            <w:tcBorders/>
            <w:vAlign w:val="center"/>
          </w:tcPr>
          <w:p>
            <w:pPr>
              <w:pStyle w:val="TableContents"/>
              <w:bidi w:val="0"/>
              <w:spacing w:before="0" w:after="283"/>
              <w:jc w:val="left"/>
              <w:rPr>
                <w:caps w:val="false"/>
                <w:smallCaps w:val="false"/>
              </w:rPr>
            </w:pPr>
            <w:r>
              <w:rPr>
                <w:caps w:val="false"/>
                <w:smallCaps w:val="false"/>
              </w:rPr>
              <w:t> </w:t>
            </w:r>
          </w:p>
        </w:tc>
        <w:tc>
          <w:tcPr>
            <w:tcW w:w="2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Senior Managing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45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p>
    <w:p>
      <w:pPr>
        <w:pStyle w:val="TextBody"/>
        <w:bidi w:val="0"/>
        <w:spacing w:before="0" w:after="0"/>
        <w:ind w:left="0" w:right="0" w:hanging="0"/>
        <w:jc w:val="center"/>
        <w:rPr>
          <w:caps w:val="false"/>
          <w:smallCaps w:val="false"/>
        </w:rPr>
      </w:pPr>
      <w:r>
        <w:rPr>
          <w:caps w:val="false"/>
          <w:smallCaps w:val="false"/>
        </w:rPr>
        <w:t> </w:t>
      </w:r>
    </w:p>
    <w:tbl>
      <w:tblPr>
        <w:tblW w:w="3879" w:type="dxa"/>
        <w:jc w:val="center"/>
        <w:tblInd w:w="0" w:type="dxa"/>
        <w:tblLayout w:type="fixed"/>
        <w:tblCellMar>
          <w:top w:w="0" w:type="dxa"/>
          <w:left w:w="0" w:type="dxa"/>
          <w:bottom w:w="28" w:type="dxa"/>
          <w:right w:w="0" w:type="dxa"/>
        </w:tblCellMar>
      </w:tblPr>
      <w:tblGrid>
        <w:gridCol w:w="2390"/>
        <w:gridCol w:w="60"/>
        <w:gridCol w:w="89"/>
        <w:gridCol w:w="1265"/>
        <w:gridCol w:w="75"/>
      </w:tblGrid>
      <w:tr>
        <w:trPr/>
        <w:tc>
          <w:tcPr>
            <w:tcW w:w="2390" w:type="dxa"/>
            <w:tcBorders>
              <w:bottom w:val="single" w:sz="8" w:space="0" w:color="000000"/>
            </w:tcBorders>
            <w:vAlign w:val="center"/>
          </w:tcPr>
          <w:p>
            <w:pPr>
              <w:pStyle w:val="TableContents"/>
              <w:bidi w:val="0"/>
              <w:spacing w:before="0" w:after="283"/>
              <w:jc w:val="left"/>
              <w:rPr>
                <w:b/>
                <w:sz w:val="20"/>
              </w:rPr>
            </w:pPr>
            <w:r>
              <w:rPr>
                <w:b/>
                <w:sz w:val="20"/>
              </w:rPr>
              <w:t>Underwriters</w:t>
            </w:r>
          </w:p>
        </w:tc>
        <w:tc>
          <w:tcPr>
            <w:tcW w:w="60" w:type="dxa"/>
            <w:tcBorders/>
            <w:tcMar>
              <w:bottom w:w="0" w:type="dxa"/>
            </w:tcMar>
            <w:vAlign w:val="center"/>
          </w:tcPr>
          <w:p>
            <w:pPr>
              <w:pStyle w:val="TableContents"/>
              <w:bidi w:val="0"/>
              <w:spacing w:before="0" w:after="283"/>
              <w:jc w:val="left"/>
              <w:rPr/>
            </w:pPr>
            <w:r>
              <w:rPr/>
              <w:t> </w:t>
            </w:r>
          </w:p>
        </w:tc>
        <w:tc>
          <w:tcPr>
            <w:tcW w:w="1354" w:type="dxa"/>
            <w:gridSpan w:val="2"/>
            <w:tcBorders>
              <w:bottom w:val="single" w:sz="8" w:space="0" w:color="000000"/>
            </w:tcBorders>
            <w:vAlign w:val="center"/>
          </w:tcPr>
          <w:p>
            <w:pPr>
              <w:pStyle w:val="TableContents"/>
              <w:bidi w:val="0"/>
              <w:spacing w:before="0" w:after="283"/>
              <w:jc w:val="center"/>
              <w:rPr>
                <w:b/>
                <w:sz w:val="20"/>
              </w:rPr>
            </w:pPr>
            <w:r>
              <w:rPr>
                <w:b/>
                <w:sz w:val="20"/>
              </w:rPr>
              <w:t xml:space="preserve">Number of </w:t>
              <w:br/>
              <w:t xml:space="preserve">Firm Shares </w:t>
              <w:br/>
              <w:t>to be Purchased</w:t>
            </w:r>
          </w:p>
        </w:tc>
        <w:tc>
          <w:tcPr>
            <w:tcW w:w="75" w:type="dxa"/>
            <w:tcBorders/>
            <w:tcMar>
              <w:bottom w:w="0" w:type="dxa"/>
            </w:tcMar>
            <w:vAlign w:val="center"/>
          </w:tcPr>
          <w:p>
            <w:pPr>
              <w:pStyle w:val="TableContents"/>
              <w:bidi w:val="0"/>
              <w:spacing w:before="0" w:after="283"/>
              <w:jc w:val="left"/>
              <w:rPr/>
            </w:pPr>
            <w:r>
              <w:rPr/>
              <w:t> </w:t>
            </w:r>
          </w:p>
        </w:tc>
      </w:tr>
      <w:tr>
        <w:trPr/>
        <w:tc>
          <w:tcPr>
            <w:tcW w:w="23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Jefferies LLC </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2,163,462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Securities (USA) LLC</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1,730,770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Guggenheim Securities, LLC</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1,153,846</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LifeSci Capital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721,153</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shd w:fill="CCEEFF" w:val="clear"/>
            <w:tcMar>
              <w:bottom w:w="0" w:type="dxa"/>
            </w:tcMar>
            <w:vAlign w:val="center"/>
          </w:tcPr>
          <w:p>
            <w:pPr>
              <w:pStyle w:val="TableContents"/>
              <w:bidi w:val="0"/>
              <w:spacing w:before="0" w:after="283"/>
              <w:jc w:val="left"/>
              <w:rPr>
                <w:sz w:val="20"/>
              </w:rPr>
            </w:pPr>
            <w:r>
              <w:rPr>
                <w:sz w:val="20"/>
              </w:rPr>
              <w:t>Total</w:t>
              <w:tab/>
              <w:t xml:space="preserv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bottom w:val="double" w:sz="6" w:space="0" w:color="000000"/>
            </w:tcBorders>
            <w:shd w:fill="CCEEFF" w:val="clear"/>
            <w:vAlign w:val="center"/>
          </w:tcPr>
          <w:p>
            <w:pPr>
              <w:pStyle w:val="TableContents"/>
              <w:bidi w:val="0"/>
              <w:spacing w:before="0" w:after="283"/>
              <w:jc w:val="left"/>
              <w:rPr/>
            </w:pPr>
            <w:r>
              <w:rPr/>
              <w:t> </w:t>
            </w:r>
          </w:p>
        </w:tc>
        <w:tc>
          <w:tcPr>
            <w:tcW w:w="1265" w:type="dxa"/>
            <w:tcBorders>
              <w:bottom w:val="double" w:sz="6" w:space="0" w:color="000000"/>
            </w:tcBorders>
            <w:shd w:fill="CCEEFF" w:val="clear"/>
            <w:vAlign w:val="center"/>
          </w:tcPr>
          <w:p>
            <w:pPr>
              <w:pStyle w:val="TableContents"/>
              <w:bidi w:val="0"/>
              <w:spacing w:before="0" w:after="283"/>
              <w:jc w:val="right"/>
              <w:rPr>
                <w:sz w:val="20"/>
              </w:rPr>
            </w:pPr>
            <w:r>
              <w:rPr>
                <w:sz w:val="20"/>
              </w:rPr>
              <w:t>5,769,231</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B</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Free Writing Prospectuses Included in the Time of Sale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of Lock-up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__,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Jefferies LLC</w:t>
        <w:br/>
        <w:t>TD Securities (USA)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Guggenheim Securities, LLC</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Representatives of the Several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Jefferies LLC</w:t>
        <w:br/>
        <w:t>520 Madison Avenue</w:t>
        <w:br/>
        <w:t>New York, New York 10022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Securities (USA) LLC</w:t>
        <w:br/>
        <w:t>1 Vanderbilt Avenue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Guggenheim Securities, LLC</w:t>
        <w:br/>
        <w:t>330 Madison Avenue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r>
    </w:p>
    <w:p>
      <w:pPr>
        <w:pStyle w:val="TextBody"/>
        <w:bidi w:val="0"/>
        <w:spacing w:before="0" w:after="0"/>
        <w:ind w:left="0" w:right="0" w:hanging="0"/>
        <w:jc w:val="left"/>
        <w:rPr>
          <w:caps w:val="false"/>
          <w:smallCaps w:val="false"/>
        </w:rPr>
      </w:pPr>
      <w:r>
        <w:rPr>
          <w:caps w:val="false"/>
          <w:smallCaps w:val="false"/>
        </w:rPr>
        <w:t> </w:t>
      </w:r>
    </w:p>
    <w:tbl>
      <w:tblPr>
        <w:tblW w:w="4548" w:type="dxa"/>
        <w:jc w:val="left"/>
        <w:tblInd w:w="0" w:type="dxa"/>
        <w:tblLayout w:type="fixed"/>
        <w:tblCellMar>
          <w:top w:w="0" w:type="dxa"/>
          <w:left w:w="0" w:type="dxa"/>
          <w:bottom w:w="0" w:type="dxa"/>
          <w:right w:w="0" w:type="dxa"/>
        </w:tblCellMar>
      </w:tblPr>
      <w:tblGrid>
        <w:gridCol w:w="38"/>
        <w:gridCol w:w="395"/>
        <w:gridCol w:w="4115"/>
      </w:tblGrid>
      <w:tr>
        <w:trPr/>
        <w:tc>
          <w:tcPr>
            <w:tcW w:w="3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pPr>
            <w:r>
              <w:rPr/>
              <w:t>RE:</w:t>
            </w:r>
          </w:p>
        </w:tc>
        <w:tc>
          <w:tcPr>
            <w:tcW w:w="4115" w:type="dxa"/>
            <w:tcBorders/>
            <w:vAlign w:val="center"/>
          </w:tcPr>
          <w:p>
            <w:pPr>
              <w:pStyle w:val="TableContents"/>
              <w:bidi w:val="0"/>
              <w:spacing w:before="0" w:after="283"/>
              <w:jc w:val="both"/>
              <w:rPr/>
            </w:pPr>
            <w:r>
              <w:rPr/>
              <w:t>Yarrow Bioscience, Inc. (the “</w:t>
            </w:r>
            <w:r>
              <w:rPr>
                <w:b/>
              </w:rPr>
              <w:t>Company</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&amp;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is an owner of shares of common stock, par value $0.0001 per share, of the Company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or of securities convertible into or exchangeable or exercisable for Shares. The Company proposes to conduct a public offering of Shares (the “</w:t>
      </w:r>
      <w:r>
        <w:rPr>
          <w:rFonts w:ascii="Times New Roman;Times;Serif" w:hAnsi="Times New Roman;Times;Serif"/>
          <w:b/>
          <w:i w:val="false"/>
          <w:caps w:val="false"/>
          <w:smallCaps w:val="false"/>
          <w:sz w:val="20"/>
        </w:rPr>
        <w:t>Offering</w:t>
      </w:r>
      <w:r>
        <w:rPr>
          <w:rFonts w:ascii="Times New Roman;Times;Serif" w:hAnsi="Times New Roman;Times;Serif"/>
          <w:b w:val="false"/>
          <w:i w:val="false"/>
          <w:caps w:val="false"/>
          <w:smallCaps w:val="false"/>
          <w:sz w:val="20"/>
        </w:rPr>
        <w:t>”) for which Jefferies LLC (“</w:t>
      </w:r>
      <w:r>
        <w:rPr>
          <w:rFonts w:ascii="Times New Roman;Times;Serif" w:hAnsi="Times New Roman;Times;Serif"/>
          <w:b/>
          <w:i w:val="false"/>
          <w:caps w:val="false"/>
          <w:smallCaps w:val="false"/>
          <w:sz w:val="20"/>
        </w:rPr>
        <w:t>Jefferies</w:t>
      </w:r>
      <w:r>
        <w:rPr>
          <w:rFonts w:ascii="Times New Roman;Times;Serif" w:hAnsi="Times New Roman;Times;Serif"/>
          <w:b w:val="false"/>
          <w:i w:val="false"/>
          <w:caps w:val="false"/>
          <w:smallCaps w:val="false"/>
          <w:sz w:val="20"/>
        </w:rPr>
        <w:t>”), TD Securities (USA) LLC (“</w:t>
      </w:r>
      <w:r>
        <w:rPr>
          <w:rFonts w:ascii="Times New Roman;Times;Serif" w:hAnsi="Times New Roman;Times;Serif"/>
          <w:b/>
          <w:i w:val="false"/>
          <w:caps w:val="false"/>
          <w:smallCaps w:val="false"/>
          <w:sz w:val="20"/>
        </w:rPr>
        <w:t>TD Cowen</w:t>
      </w:r>
      <w:r>
        <w:rPr>
          <w:rFonts w:ascii="Times New Roman;Times;Serif" w:hAnsi="Times New Roman;Times;Serif"/>
          <w:b w:val="false"/>
          <w:i w:val="false"/>
          <w:caps w:val="false"/>
          <w:smallCaps w:val="false"/>
          <w:sz w:val="20"/>
        </w:rPr>
        <w:t>”) and Guggenheim Securities, LLC (together with Jefferies and TD Cowen, the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will act as the representatives of the underwriters. The undersigned recognizes that the Offering will benefit each of the Company and the undersigned. The undersigned acknowledges that the underwriters are relying on the representations and agreements of the undersigned contained in this letter agreement in conducting the Offering and, at a subsequent date, in entering into an underwriting agreement (the “</w:t>
      </w:r>
      <w:r>
        <w:rPr>
          <w:rFonts w:ascii="Times New Roman;Times;Serif" w:hAnsi="Times New Roman;Times;Serif"/>
          <w:b/>
          <w:i w:val="false"/>
          <w:caps w:val="false"/>
          <w:smallCaps w:val="false"/>
          <w:sz w:val="20"/>
        </w:rPr>
        <w:t>Underwriting Agreement</w:t>
      </w:r>
      <w:r>
        <w:rPr>
          <w:rFonts w:ascii="Times New Roman;Times;Serif" w:hAnsi="Times New Roman;Times;Serif"/>
          <w:b w:val="false"/>
          <w:i w:val="false"/>
          <w:caps w:val="false"/>
          <w:smallCaps w:val="false"/>
          <w:sz w:val="20"/>
        </w:rPr>
        <w:t>”) and other underwriting arrangements with the Company with respect to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A sets forth definitions for capitalized terms used in this letter agreement that are not defined in the body of this letter agreement. Those definitions are a part of this letter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foregoing, and for other good and valuable consideration, the receipt and sufficiency of which are hereby acknowledged, the undersigned hereby agrees that, during the Lock-up Period, the undersigned will not (and, if the undersigned is a natural person, will cause any Family Member not to), subject to the exceptions set forth in this letter agreement, without the prior written consent of Jefferies and TD Cowen, which may withhold their consent in their sole discretion: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Sell or Offer to Sell any Shares or Related Securities currently or hereafter owned either of record or beneficially (as defined in Rule 13d-3 under the Exchange Act) by the undersigned or such Family Member,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1"/>
        <w:gridCol w:w="526"/>
        <w:gridCol w:w="9498"/>
      </w:tblGrid>
      <w:tr>
        <w:trPr/>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498" w:type="dxa"/>
            <w:tcBorders/>
            <w:vAlign w:val="center"/>
          </w:tcPr>
          <w:p>
            <w:pPr>
              <w:pStyle w:val="TableContents"/>
              <w:bidi w:val="0"/>
              <w:spacing w:before="0" w:after="283"/>
              <w:jc w:val="left"/>
              <w:rPr/>
            </w:pPr>
            <w:r>
              <w:rPr/>
              <w:t>enter into any Swap,</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make any demand for, or exercise any right with respect to, the registration under the Securities Act of the offer and sale of any Shares or Related Securities, or cause to be filed a registration statement, prospectus or prospectus supplement (or an amendment or supplement thereto) with respect to any such registration, except as otherwise permitted by this letter agreement,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194"/>
        <w:gridCol w:w="9945"/>
      </w:tblGrid>
      <w:tr>
        <w:trPr/>
        <w:tc>
          <w:tcPr>
            <w:tcW w:w="6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45" w:type="dxa"/>
            <w:tcBorders/>
            <w:vAlign w:val="center"/>
          </w:tcPr>
          <w:p>
            <w:pPr>
              <w:pStyle w:val="TableContents"/>
              <w:bidi w:val="0"/>
              <w:spacing w:before="0" w:after="283"/>
              <w:jc w:val="left"/>
              <w:rPr/>
            </w:pPr>
            <w:r>
              <w:rPr/>
              <w:t>publicly announce any intention to do any of the foregoing.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foregoing will not apply to the registration of the offer and sale of the Shares and/or Related Securities, and the sale of the Shares and/or Related Securities to the underwriters, in each case as contemplated by the Underwriting Agreement. In addition, the foregoing restrictions shall not apply to (a) the transfer of Shares or Related Securities by bona fide gift, or by will or intestate succession to a Family Member or to a trust whose beneficiaries consist exclusively of one or more of the undersigned and/or a Family Member, (b) the transfer of Shares or Related Securities pursuant to a court order in respect of, or by operation of law as a result of, a divorce, (c) if the undersigned is a non-individual, the transfer of Shares or Related Securities to any affiliate (as such term is defined in Rule 405 under the Securities Act), limited partners, general partners, limited liability company members, trust beneficiaries or stockholders of the undersigned, if, in any such case, such transfer is not for value or (d) transactions relating to Shares acquired in the Offering or in open market transactions after the completion of the Offering;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in the cases described in (a), (b) and (c) above, each transferee executes and delivers to the Representatives an agreement in form and substance satisfactory to the Representatives stating that such transferee is receiving and holding such Shares and/or Related Securities subject to the provisions of this letter agreement and agrees not to Sell or Offer to Sell such Shares and/or Related Securities, engage in any Swap or engage in any other activities restricted under this letter agreement except in accordance with this letter agreement (as if such transferee had been an original signatory hereto);</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in the case described in (b) above, prior to the expiration of the Lock-up Period, no public disclosure or filing under the Exchange Act by any party to the transfer (donor, donee, transferor or transferee) shall be required, or made voluntarily, reporting a reduction in beneficial ownership of Shares in connection with such transfer;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in the cases described in (a), (c) and (d) above, prior to the expiration of the Lock-up Period, no public disclosure or filing under the Exchange Act by any party to the transfer (donor, donee, transferor or transferee) shall be made voluntarily reporting a reduction in beneficial ownership of Shares in connection with such transfer, and any public disclosure or filing under the Exchange Act by any party to the transfer (donor, donee, transferor or transferee) required to be made reporting a reduction in beneficial ownership of Shares in connection with such transfer shall include a statement describing the circumstances of such transfer and, in the cases described in (a) and (c) above, that the transferee has agreed to be bound by the terms of this letter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also agrees and consents to the entry of stop transfer instructions with the Company’s transfer agent and registrar against the transfer of Shares or Related Securities held by the undersigned and the undersigned's Family Members, if any, except in compliance with the foregoing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notwithstanding the restrictions imposed by this letter agreement, the undersigned may (i) transfer Shares to the Company upon the exercise of options or warrants or the vesting of restricted stock units during the Lock-up Period to cover tax withholding obligations in connection with such exercise or vesting or for the primary purpose of paying the exercise price of options or warrants to acquire Shares, in each case pursuant to a stock option, stock bonus or other stock plan or arrangement or warrants existing as of the date hereof or described in the Prospectus (as defined in the Underwriting Agreement) and any Shares acquired upon such exercise or vesting shall remain subject to this letter agreement; provided that if the undersigned is required to file a report under the Exchange Act related thereto, such report shall include a statement to the effect that the filing relates to the “net” or “cashless” exercise of options to purchase shares of common stock for the purpose of exercising such options including, if applicable, the payment of taxes due as a result of the exercise of options or vesting of restricted stock units, (ii) establish or amend a trading plan pursuant to Rule 10b5-1 under the Exchange Act (a “</w:t>
      </w:r>
      <w:r>
        <w:rPr>
          <w:rFonts w:ascii="Times New Roman;Times;Serif" w:hAnsi="Times New Roman;Times;Serif"/>
          <w:b/>
          <w:i w:val="false"/>
          <w:caps w:val="false"/>
          <w:smallCaps w:val="false"/>
          <w:sz w:val="20"/>
        </w:rPr>
        <w:t>10b5-1 Plan</w:t>
      </w:r>
      <w:r>
        <w:rPr>
          <w:rFonts w:ascii="Times New Roman;Times;Serif" w:hAnsi="Times New Roman;Times;Serif"/>
          <w:b w:val="false"/>
          <w:i w:val="false"/>
          <w:caps w:val="false"/>
          <w:smallCaps w:val="false"/>
          <w:sz w:val="20"/>
        </w:rPr>
        <w:t>”), provided that no sales or other dispositions of Shares or Related Securities may occur under such plan during the Lock-up Period and no public announcement or filing under the Exchange Act shall be voluntarily made by or on behalf of the undersigned or the Company regarding the establishment of such 10b5-1 Plan during the Lock-up Period, and any public announcement or filing under the Exchange Act required of the undersigned or the Company regarding the establishment of such 10b5-1 Plan during the Lock-up Period shall include a statement to the effect that no transfer of Shares may be made under such 10b5-1 Plan during the Lock-up Period, or (iii) transfer the undersigned’s Shares or Related Securities pursuant to a bona fide third-party offer for all or substantially all of the outstanding voting stock of the Company, whether pursuant to a merger, tender offer or otherwise, to a third party or group of third parties, including by entering into any voting, support or tender agreement with respect thereto, provided that in the event that such merger, tender offer or other transaction is not consummated, such Shares or Related Securities held by the undersigned shall remain subject to the restrictions on transfer set forth herein. For the avoidance of doubt, nothing in this letter agreement shall prohibit the undersigned from exercising options or warrants to purchase Shares, or converting, exchanging or settling any Related Securities, in each case outstanding as of the date hereof or described in the Prospectus, provided that any Shares issued upon such exercise, conversion, exchange or settlement shall remain subject to this letter agreement. In addition, the undersigned may transfer Shares or Related Securities to the Company in connection with the repurchase or forfeiture of such Shares or Related Securities pursuant to any contractual arrangement in effect on the date hereof that provides for such repurchase or forfeiture upon the termination of the undersigned’s employment or other service relationship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 release or waiver of the foregoing restrictions is granted by the Representatives with respect to any Shares or Related Securities, to any officer, director or any other stockholder of at least one percent (1%) of the Shares outstanding following the consummation of the Offering (calculated on an as-converted, fully diluted basis) (each, a “</w:t>
      </w:r>
      <w:r>
        <w:rPr>
          <w:rFonts w:ascii="Times New Roman;Times;Serif" w:hAnsi="Times New Roman;Times;Serif"/>
          <w:b/>
          <w:i w:val="false"/>
          <w:caps w:val="false"/>
          <w:smallCaps w:val="false"/>
          <w:sz w:val="20"/>
        </w:rPr>
        <w:t>Major Holder</w:t>
      </w:r>
      <w:r>
        <w:rPr>
          <w:rFonts w:ascii="Times New Roman;Times;Serif" w:hAnsi="Times New Roman;Times;Serif"/>
          <w:b w:val="false"/>
          <w:i w:val="false"/>
          <w:caps w:val="false"/>
          <w:smallCaps w:val="false"/>
          <w:sz w:val="20"/>
        </w:rPr>
        <w:t>”) who is a party to a lock-up agreement other than the undersigned (each, a “</w:t>
      </w:r>
      <w:r>
        <w:rPr>
          <w:rFonts w:ascii="Times New Roman;Times;Serif" w:hAnsi="Times New Roman;Times;Serif"/>
          <w:b/>
          <w:i w:val="false"/>
          <w:caps w:val="false"/>
          <w:smallCaps w:val="false"/>
          <w:sz w:val="20"/>
        </w:rPr>
        <w:t>Release</w:t>
      </w:r>
      <w:r>
        <w:rPr>
          <w:rFonts w:ascii="Times New Roman;Times;Serif" w:hAnsi="Times New Roman;Times;Serif"/>
          <w:b w:val="false"/>
          <w:i w:val="false"/>
          <w:caps w:val="false"/>
          <w:smallCaps w:val="false"/>
          <w:sz w:val="20"/>
        </w:rPr>
        <w:t>” and, collectively, “</w:t>
      </w:r>
      <w:r>
        <w:rPr>
          <w:rFonts w:ascii="Times New Roman;Times;Serif" w:hAnsi="Times New Roman;Times;Serif"/>
          <w:b/>
          <w:i w:val="false"/>
          <w:caps w:val="false"/>
          <w:smallCaps w:val="false"/>
          <w:sz w:val="20"/>
        </w:rPr>
        <w:t>Releases</w:t>
      </w:r>
      <w:r>
        <w:rPr>
          <w:rFonts w:ascii="Times New Roman;Times;Serif" w:hAnsi="Times New Roman;Times;Serif"/>
          <w:b w:val="false"/>
          <w:i w:val="false"/>
          <w:caps w:val="false"/>
          <w:smallCaps w:val="false"/>
          <w:sz w:val="20"/>
        </w:rPr>
        <w:t xml:space="preserve">”), then the same percentage of Shares held by the undersigned on the date of such release or waiver as the percentage of the total number of outstanding Shares of the Company held by such officer, director or such Major Holder on the date of such Release that are the subject of such Release shall be immediately and fully released by the Representatives on the same terms from the applicable prohibitions set forth herein. Notwithstanding the foregoing, the provisions of this paragraph shall not apply (1) if the aggregate amount of Shares subject to Release (whether in one or multiple Releases) is not more than one percent (1%) of the Shares outstanding following the consummation of the Offering (calculated on an as-converted, fully diluted basis); (2) such Release is in response to a request from the Company’s management team to release directors or officers from the foregoing restrictions in response to a financial hardship, in an amount not to exceed $1,000,000 per director or officer and $2,500,000 in the aggregate; (3) if the Release is effected solely to permit a transfer not involving a disposition for value and such transferee agrees in writing to be bound by the same terms described in this letter agreement to the extent and for the duration that such terms remain in effect at the time of transfer; or (4) if the Release is effected in connection with any secondary underwritten public offering, whether or not such offering or sale is wholly or partially a secondary offering of Shares or Related Securities during the Lock-up Period (a “Follow-on Offering”);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(i) such Release shall only be granted for the purpose of participating in such Follow-on Offering and (ii) the undersigned, to the extent the undersigned has a contractual right to demand or require the registration of the undersigned’s Shares or otherwise “piggyback” on a registration statement filed by the Company for the offer and sale of its Shares, shall be offered the opportunity to participate on a pro rata basis consistent with such contractual rights in such Follow-on Offering and on pricing terms that are no less favorable than the terms of the Follow-on Offering. The Representatives shall use commercially reasonable efforts to notify the Company three days prior to a Release subject to this paragraph and the Company shall thereafter promptly (and in any event within two business days) notify the undersigned thereof (provided that the failure to provide such notice shall not give rise to any claim or liability against the Representatives or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Offering only, the undersigned waives any registration rights relating to registration under the Securities Act of the offer and sale of any Shares and/or any Related Securities owned either of record or beneficially by the undersigned, including any rights to receive notice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confirms that the undersigned has not, and has no knowledge that any Family Member has, directly or indirectly, taken any action designed to or that might reasonably be expected to cause or result in the stabilization or manipulation of the price of any security of the Company to facilitate the sale of the Shares. The undersigned will not take, and will use reasonable best efforts to cause any Family Member not to take, directly or indirectly, any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and agrees that the underwriters have not provided any recommendation or investment advice, nor have the underwriters solicited any action from the undersigned with respect to the Offering and the undersigned has consulted their own legal, accounting, financial, regulatory and tax advisors to the extent deemed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the Offering occurs as currently contemplated or at all depends on market conditions and other factors. The Offering will only be made pursuant to the Underwriting Agreement, the terms of which are subject to negotiation between the Company and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shall automatically terminate and be of no further effect upon the earliest to occur, if any, of (i) the Representatives, on behalf of the underwriters, or the Company, advising the other party in writing, prior to the execution of the Underwriting Agreement, that it has determined not to proceed with the Offering, (ii) the termination of the Underwriting Agreement before the sale of the Shares to the underwriters, (iii) the Registration Statement (as defined in the Underwriting Agreement) filed with the Securities and Exchange Commission with respect to the Offering is withdrawn, and (iv) October 31, 2026, in the event that the Underwriting Agreement has not been executed by such date (provided that the Company may by written notice to the undersigned prior to October 31, 2026, extend such date for a period of up to three additional months). Upon any such termination, the undersigned shall be automatically released from all obligations under this letter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represents and warrants that the undersigned has full power, capacity and authority to enter into this letter agreement. This letter agreement is irrevocable and will be binding on the undersigned and the successors, heirs, personal representatives and assigns of the undersigned.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2690" w:type="dxa"/>
        <w:jc w:val="left"/>
        <w:tblInd w:w="0" w:type="dxa"/>
        <w:tblLayout w:type="fixed"/>
        <w:tblCellMar>
          <w:top w:w="0" w:type="dxa"/>
          <w:left w:w="0" w:type="dxa"/>
          <w:bottom w:w="28" w:type="dxa"/>
          <w:right w:w="0" w:type="dxa"/>
        </w:tblCellMar>
      </w:tblPr>
      <w:tblGrid>
        <w:gridCol w:w="2615"/>
        <w:gridCol w:w="75"/>
      </w:tblGrid>
      <w:tr>
        <w:trPr/>
        <w:tc>
          <w:tcPr>
            <w:tcW w:w="261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6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75" w:type="dxa"/>
            <w:tcBorders/>
            <w:tcMar>
              <w:bottom w:w="0" w:type="dxa"/>
            </w:tcMar>
            <w:vAlign w:val="center"/>
          </w:tcPr>
          <w:p>
            <w:pPr>
              <w:pStyle w:val="TableContents"/>
              <w:bidi w:val="0"/>
              <w:spacing w:before="0" w:after="283"/>
              <w:jc w:val="left"/>
              <w:rPr/>
            </w:pPr>
            <w:r>
              <w:rPr/>
              <w:t> </w:t>
            </w:r>
          </w:p>
        </w:tc>
      </w:tr>
      <w:tr>
        <w:trPr/>
        <w:tc>
          <w:tcPr>
            <w:tcW w:w="26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61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6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Printed Name of Person Signing</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(Indicate capacity of person signing if</w:t>
        <w:br/>
        <w:t>signing as custodian or trustee, or on behalf</w:t>
        <w:br/>
        <w:t>of an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Defined Terms</w:t>
        <w:br/>
      </w:r>
      <w:r>
        <w:rPr>
          <w:rFonts w:ascii="Times New Roman;Times;Serif" w:hAnsi="Times New Roman;Times;Serif"/>
          <w:b/>
          <w:i w:val="false"/>
          <w:caps w:val="false"/>
          <w:smallCaps w:val="false"/>
          <w:sz w:val="20"/>
          <w:u w:val="single"/>
        </w:rPr>
        <w:t>Used in Lock-up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letter agreement to which this Annex A is attached and of which it is made a part: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13"/>
        <w:gridCol w:w="10054"/>
      </w:tblGrid>
      <w:tr>
        <w:trPr/>
        <w:tc>
          <w:tcPr>
            <w:tcW w:w="3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4" w:type="dxa"/>
            <w:tcBorders/>
            <w:vAlign w:val="center"/>
          </w:tcPr>
          <w:p>
            <w:pPr>
              <w:pStyle w:val="TableContents"/>
              <w:bidi w:val="0"/>
              <w:spacing w:before="0" w:after="283"/>
              <w:jc w:val="left"/>
              <w:rPr/>
            </w:pPr>
            <w:r>
              <w:rPr/>
              <w:t>“</w:t>
            </w:r>
            <w:r>
              <w:rPr>
                <w:b/>
              </w:rPr>
              <w:t>Call Equivalent Position</w:t>
            </w:r>
            <w:r>
              <w:rPr/>
              <w:t>” shall have the meaning set forth in Rule 16a-1(b) under the Exchange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146"/>
        <w:gridCol w:w="10009"/>
      </w:tblGrid>
      <w:tr>
        <w:trPr/>
        <w:tc>
          <w:tcPr>
            <w:tcW w:w="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09" w:type="dxa"/>
            <w:tcBorders/>
            <w:vAlign w:val="center"/>
          </w:tcPr>
          <w:p>
            <w:pPr>
              <w:pStyle w:val="TableContents"/>
              <w:bidi w:val="0"/>
              <w:spacing w:before="0" w:after="283"/>
              <w:jc w:val="left"/>
              <w:rPr/>
            </w:pPr>
            <w:r>
              <w:rPr/>
              <w:t>“</w:t>
            </w:r>
            <w:r>
              <w:rPr>
                <w:b/>
              </w:rPr>
              <w:t>Exchange Act</w:t>
            </w:r>
            <w:r>
              <w:rPr/>
              <w:t>” shall mean the Securities Exchange Act of 1934, as amended.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w:t>
            </w:r>
            <w:r>
              <w:rPr>
                <w:b/>
              </w:rPr>
              <w:t>Family Member</w:t>
            </w:r>
            <w:r>
              <w:rPr/>
              <w:t>” shall mean the spouse of the undersigned, an immediate family member of the undersigned or an immediate family member of the undersigned's spouse, in each case living in the undersigned's household or whose principal residence is the undersigned's household (regardless of whether such spouse or family member may at the time be living elsewhere due to educational activities, health care treatment, military service, temporary internship or employment or otherwise). “</w:t>
            </w:r>
            <w:r>
              <w:rPr>
                <w:b/>
              </w:rPr>
              <w:t>Immediate family member</w:t>
            </w:r>
            <w:r>
              <w:rPr/>
              <w:t>” as used above shall have the meaning set forth in Rule 16a-1(e) under the Exchange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w:t>
            </w:r>
            <w:r>
              <w:rPr>
                <w:b/>
              </w:rPr>
              <w:t>Lock-up Period</w:t>
            </w:r>
            <w:r>
              <w:rPr/>
              <w:t>” shall mean the period beginning on the date hereof and continuing through the close of trading on the date that is 60 days after the date of the Prospectus (as defined in the Underwriting Agreement).</w:t>
            </w:r>
          </w:p>
        </w:tc>
      </w:tr>
    </w:tbl>
    <w:p>
      <w:pPr>
        <w:pStyle w:val="TextBody"/>
        <w:bidi w:val="0"/>
        <w:spacing w:before="0" w:after="0"/>
        <w:ind w:left="108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13"/>
        <w:gridCol w:w="10053"/>
      </w:tblGrid>
      <w:tr>
        <w:trPr/>
        <w:tc>
          <w:tcPr>
            <w:tcW w:w="3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3" w:type="dxa"/>
            <w:tcBorders/>
            <w:vAlign w:val="center"/>
          </w:tcPr>
          <w:p>
            <w:pPr>
              <w:pStyle w:val="TableContents"/>
              <w:bidi w:val="0"/>
              <w:spacing w:before="0" w:after="283"/>
              <w:jc w:val="left"/>
              <w:rPr/>
            </w:pPr>
            <w:r>
              <w:rPr/>
              <w:t>“</w:t>
            </w:r>
            <w:r>
              <w:rPr>
                <w:b/>
              </w:rPr>
              <w:t>Put Equivalent Position</w:t>
            </w:r>
            <w:r>
              <w:rPr/>
              <w:t>” shall have the meaning set forth in Rule 16a-1(h) under the Exchange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w:t>
            </w:r>
            <w:r>
              <w:rPr>
                <w:b/>
              </w:rPr>
              <w:t>Related Securities</w:t>
            </w:r>
            <w:r>
              <w:rPr/>
              <w:t>” shall mean any options or warrants or other rights to acquire Shares or any securities exchangeable or exercisable for or convertible into Shares, or to acquire other securities or rights ultimately exchangeable or exercisable for or convertible into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168"/>
        <w:gridCol w:w="9979"/>
      </w:tblGrid>
      <w:tr>
        <w:trPr/>
        <w:tc>
          <w:tcPr>
            <w:tcW w:w="5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79" w:type="dxa"/>
            <w:tcBorders/>
            <w:vAlign w:val="center"/>
          </w:tcPr>
          <w:p>
            <w:pPr>
              <w:pStyle w:val="TableContents"/>
              <w:bidi w:val="0"/>
              <w:spacing w:before="0" w:after="283"/>
              <w:jc w:val="left"/>
              <w:rPr/>
            </w:pPr>
            <w:r>
              <w:rPr/>
              <w:t>“</w:t>
            </w:r>
            <w:r>
              <w:rPr>
                <w:b/>
              </w:rPr>
              <w:t>Securities Act</w:t>
            </w:r>
            <w:r>
              <w:rPr/>
              <w:t>” shall mean the Securities Act of 1933, as amended.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5"/>
        <w:gridCol w:w="305"/>
        <w:gridCol w:w="9795"/>
      </w:tblGrid>
      <w:tr>
        <w:trPr/>
        <w:tc>
          <w:tcPr>
            <w:tcW w:w="1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795" w:type="dxa"/>
            <w:tcBorders/>
            <w:vAlign w:val="center"/>
          </w:tcPr>
          <w:p>
            <w:pPr>
              <w:pStyle w:val="TableContents"/>
              <w:bidi w:val="0"/>
              <w:spacing w:before="0" w:after="283"/>
              <w:jc w:val="left"/>
              <w:rPr/>
            </w:pPr>
            <w:r>
              <w:rPr/>
              <w:t>“</w:t>
            </w:r>
            <w:r>
              <w:rPr>
                <w:b/>
              </w:rPr>
              <w:t>Sell or Offer to Sell</w:t>
            </w:r>
            <w:r>
              <w:rPr/>
              <w:t>” shall mean to:</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359"/>
        <w:gridCol w:w="9749"/>
      </w:tblGrid>
      <w:tr>
        <w:trPr/>
        <w:tc>
          <w:tcPr>
            <w:tcW w:w="9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pPr>
            <w:r>
              <w:rPr/>
              <w:t>–</w:t>
            </w:r>
          </w:p>
        </w:tc>
        <w:tc>
          <w:tcPr>
            <w:tcW w:w="9749" w:type="dxa"/>
            <w:tcBorders/>
            <w:vAlign w:val="center"/>
          </w:tcPr>
          <w:p>
            <w:pPr>
              <w:pStyle w:val="TableContents"/>
              <w:bidi w:val="0"/>
              <w:spacing w:before="0" w:after="283"/>
              <w:jc w:val="left"/>
              <w:rPr/>
            </w:pPr>
            <w:r>
              <w:rPr/>
              <w:t>sell, offer to sell, contract to sell or lend,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8" w:type="dxa"/>
            <w:tcBorders/>
            <w:vAlign w:val="center"/>
          </w:tcPr>
          <w:p>
            <w:pPr>
              <w:pStyle w:val="TableContents"/>
              <w:bidi w:val="0"/>
              <w:spacing w:before="0" w:after="283"/>
              <w:jc w:val="left"/>
              <w:rPr/>
            </w:pPr>
            <w:r>
              <w:rPr/>
              <w:t>effect any short sale or establish or increase a Put Equivalent Position or liquidate or decrease any Call Equivalent Position,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265"/>
        <w:gridCol w:w="9869"/>
      </w:tblGrid>
      <w:tr>
        <w:trPr/>
        <w:tc>
          <w:tcPr>
            <w:tcW w:w="7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w:t>
            </w:r>
          </w:p>
        </w:tc>
        <w:tc>
          <w:tcPr>
            <w:tcW w:w="9869" w:type="dxa"/>
            <w:tcBorders/>
            <w:vAlign w:val="center"/>
          </w:tcPr>
          <w:p>
            <w:pPr>
              <w:pStyle w:val="TableContents"/>
              <w:bidi w:val="0"/>
              <w:spacing w:before="0" w:after="283"/>
              <w:jc w:val="left"/>
              <w:rPr/>
            </w:pPr>
            <w:r>
              <w:rPr/>
              <w:t>pledge, hypothecate or grant any security interest in,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366"/>
        <w:gridCol w:w="9740"/>
      </w:tblGrid>
      <w:tr>
        <w:trPr/>
        <w:tc>
          <w:tcPr>
            <w:tcW w:w="9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pPr>
            <w:r>
              <w:rPr/>
              <w:t>–</w:t>
            </w:r>
          </w:p>
        </w:tc>
        <w:tc>
          <w:tcPr>
            <w:tcW w:w="9740" w:type="dxa"/>
            <w:tcBorders/>
            <w:vAlign w:val="center"/>
          </w:tcPr>
          <w:p>
            <w:pPr>
              <w:pStyle w:val="TableContents"/>
              <w:bidi w:val="0"/>
              <w:spacing w:before="0" w:after="283"/>
              <w:jc w:val="left"/>
              <w:rPr/>
            </w:pPr>
            <w:r>
              <w:rPr/>
              <w:t>in any other way transfer or dispose of,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whether effected directly or indirectly.</w:t>
      </w:r>
    </w:p>
    <w:p>
      <w:pPr>
        <w:pStyle w:val="TextBody"/>
        <w:bidi w:val="0"/>
        <w:spacing w:before="0" w:after="0"/>
        <w:ind w:left="72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w:t>
            </w:r>
            <w:r>
              <w:rPr>
                <w:b/>
              </w:rPr>
              <w:t>Swap</w:t>
            </w:r>
            <w:r>
              <w:rPr/>
              <w:t>” shall mean any swap, hedge or similar arrangement or agreement that transfers, in whole or in part, the economic risk of ownership of Shares or Related Securities, regardless of whether any such transaction is to be settled in securities, in cash or otherwise.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not defined in this Annex A shall have the meanings given to them in the body of this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A-7</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Executive Officers and Others</w:t>
      </w:r>
      <w:r>
        <w:rPr>
          <w:rFonts w:ascii="Times New Roman;Times;Serif" w:hAnsi="Times New Roman;Times;Serif"/>
          <w:b/>
          <w:i w:val="false"/>
          <w:caps w:val="false"/>
          <w:smallCaps w:val="false"/>
          <w:sz w:val="20"/>
          <w:u w:val="single"/>
        </w:rPr>
        <w:br/>
        <w:t>           Signing Lock-up Agreement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Mona Ashiya, Ph.D.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Steven Hoerter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Bill Lundberg, M.D.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Silverman, J.D.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White, J.D.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Rachael Alford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Rebecca Frey, Pharm.D.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Lori Payton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Tyler Zeronda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Steven Ryder, M.D.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Private Investments X, LP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Genesis Master Fund,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EN-1</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5" w:name="tm2624918d3_ex5-1.htm"/>
      <w:bookmarkStart w:id="26" w:name="kstm2624918d3_ex51"/>
      <w:bookmarkEnd w:id="25"/>
      <w:bookmarkEnd w:id="26"/>
      <w:r>
        <w:rPr/>
        <w:t> </w:t>
      </w:r>
      <w:r>
        <w:br w:type="page"/>
      </w:r>
    </w:p>
    <w:p>
      <w:pPr>
        <w:pStyle w:val="TextBody"/>
        <w:bidi w:val="0"/>
        <w:jc w:val="right"/>
        <w:rPr>
          <w:b/>
          <w:sz w:val="20"/>
        </w:rPr>
      </w:pPr>
      <w:r>
        <w:rPr>
          <w:b/>
          <w:sz w:val="20"/>
        </w:rPr>
        <w:t>Exhibit 5.1</w:t>
      </w:r>
    </w:p>
    <w:p>
      <w:pPr>
        <w:pStyle w:val="TextBody"/>
        <w:bidi w:val="0"/>
        <w:spacing w:before="0" w:after="283"/>
        <w:jc w:val="left"/>
        <w:rPr/>
      </w:pPr>
      <w:r>
        <w:rPr/>
        <w:t> </w:t>
      </w:r>
    </w:p>
    <w:p>
      <w:pPr>
        <w:pStyle w:val="TextBody"/>
        <w:bidi w:val="0"/>
        <w:spacing w:before="0" w:after="283"/>
        <w:jc w:val="left"/>
        <w:rPr/>
      </w:pPr>
      <w:r>
        <w:rPr/>
        <w:drawing>
          <wp:inline distT="0" distB="0" distL="0" distR="0">
            <wp:extent cx="1847850" cy="323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47850" cy="323850"/>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 Bioscience, Inc.</w:t>
        <w:br/>
        <w:t>470 James Street, Suite 007</w:t>
        <w:br/>
        <w:t>New Haven, CT 06513</w:t>
      </w:r>
    </w:p>
    <w:p>
      <w:pPr>
        <w:pStyle w:val="TextBody"/>
        <w:bidi w:val="0"/>
        <w:spacing w:before="0" w:after="0"/>
        <w:ind w:left="0" w:right="0" w:hanging="0"/>
        <w:jc w:val="left"/>
        <w:rPr>
          <w:caps w:val="false"/>
          <w:smallCaps w:val="false"/>
        </w:rPr>
      </w:pPr>
      <w:r>
        <w:rPr>
          <w:caps w:val="false"/>
          <w:smallCaps w:val="false"/>
        </w:rPr>
        <w:t> </w:t>
      </w:r>
    </w:p>
    <w:tbl>
      <w:tblPr>
        <w:tblW w:w="5163" w:type="dxa"/>
        <w:jc w:val="left"/>
        <w:tblInd w:w="0" w:type="dxa"/>
        <w:tblLayout w:type="fixed"/>
        <w:tblCellMar>
          <w:top w:w="0" w:type="dxa"/>
          <w:left w:w="0" w:type="dxa"/>
          <w:bottom w:w="0" w:type="dxa"/>
          <w:right w:w="0" w:type="dxa"/>
        </w:tblCellMar>
      </w:tblPr>
      <w:tblGrid>
        <w:gridCol w:w="38"/>
        <w:gridCol w:w="290"/>
        <w:gridCol w:w="48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i/>
                <w:sz w:val="20"/>
              </w:rPr>
            </w:pPr>
            <w:r>
              <w:rPr>
                <w:i/>
                <w:sz w:val="20"/>
              </w:rPr>
              <w:t>Re:</w:t>
            </w:r>
          </w:p>
        </w:tc>
        <w:tc>
          <w:tcPr>
            <w:tcW w:w="4835" w:type="dxa"/>
            <w:tcBorders/>
            <w:vAlign w:val="center"/>
          </w:tcPr>
          <w:p>
            <w:pPr>
              <w:pStyle w:val="TableContents"/>
              <w:bidi w:val="0"/>
              <w:spacing w:before="0" w:after="283"/>
              <w:jc w:val="both"/>
              <w:rPr>
                <w:i/>
                <w:sz w:val="20"/>
              </w:rPr>
            </w:pPr>
            <w:r>
              <w:rPr>
                <w:i/>
                <w:sz w:val="20"/>
              </w:rPr>
              <w:t>Yarrow Bioscience, Inc.</w:t>
            </w:r>
          </w:p>
        </w:tc>
      </w:tr>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283"/>
              <w:jc w:val="both"/>
              <w:rPr>
                <w:i/>
                <w:sz w:val="20"/>
              </w:rPr>
            </w:pPr>
            <w:r>
              <w:rPr>
                <w:i/>
                <w:sz w:val="20"/>
              </w:rPr>
              <w:t>Registration Statement on Form S-3 (File No. 333-277609)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examined (a) the Registration Statement on Form S-3 (File No. 333-277609) and Post-Effective Amendment No. 1 thereto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of Yarrow Bioscience,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filed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pursuant to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(b) the prospectus supplement thereto dated September 10, 2026 (the “</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in connection with the offering by the Company of up to 6,634,615 shares of the Company’s common stock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par value $0.0001 per share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The Shares are being sold pursuant to an Underwriting Agreement, dated September 10, 2026, among the Company and the representatives of the underwriters named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arriving at the opinion expressed below, we have examined originals, or copies certified or otherwise identified to our satisfaction as being true and complete copies of the originals, of specimen Common Stock certificates and such other documents, corporate records, certificates of officers of the Company and of public officials and other instruments as we have deemed necessary or advisable to enable us to render the opinions set forth below. In our examination, we have assumed without independent investigation the genuineness of all signatures, the legal capacity and competency of all natural persons, the authenticity of all documents submitted to us as originals and the conformity to original documents of all documents submitted to us as copies.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assumptions, exceptions, qualifications and limitations set forth herein, we are of the opinion that the Shares, when issued against payment therefor as set forth in the Registration Statement,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filing of this opinion as an exhibit to the Registration Statement, and we further consent to the use of our name under the caption “</w:t>
      </w:r>
      <w:r>
        <w:rPr>
          <w:rFonts w:ascii="Times New Roman;Times;Serif" w:hAnsi="Times New Roman;Times;Serif"/>
          <w:b w:val="false"/>
          <w:i w:val="false"/>
          <w:caps w:val="false"/>
          <w:smallCaps w:val="false"/>
          <w:sz w:val="20"/>
          <w:u w:val="single"/>
        </w:rPr>
        <w:t>Legal Matters</w:t>
      </w:r>
      <w:r>
        <w:rPr>
          <w:rFonts w:ascii="Times New Roman;Times;Serif" w:hAnsi="Times New Roman;Times;Serif"/>
          <w:b w:val="false"/>
          <w:i w:val="false"/>
          <w:caps w:val="false"/>
          <w:smallCaps w:val="false"/>
          <w:sz w:val="20"/>
        </w:rPr>
        <w:t>” in the Registration Statement and the Prospectus Supplement. In giving these consents, we do not thereby admit that we are within the category of persons whose consent is required under Section 7 of the Securities Act or the Rules and Regulations of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Gibson, Dunn &amp; Crutcher LLP</w:t>
      </w:r>
      <w:r>
        <w:rPr>
          <w:rFonts w:ascii="Times New Roman;Times;Serif" w:hAnsi="Times New Roman;Times;Serif"/>
          <w:b w:val="false"/>
          <w:i w:val="false"/>
          <w:caps w:val="false"/>
          <w:smallCaps w:val="false"/>
          <w:sz w:val="20"/>
        </w:rPr>
        <w:br/>
        <w:t>One Embarcadero Center Suite 2600 | San Francisco, CA 94111-3715 | T: 415.393.8200 | F: 415.393.8306 | gibsondunn.com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14, 2026</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847850" cy="323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47850" cy="3238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Gibson, Dunn &amp; Crutcher LLP  </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74"/>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28843</Words>
  <Characters>152939</Characters>
  <CharactersWithSpaces>182867</CharactersWithSpaces>
  <Paragraphs>978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